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9614"/>
      </w:tblGrid>
      <w:tr w:rsidR="000E0E4A" w:rsidRPr="00DC4602" w:rsidTr="00DC4602">
        <w:tc>
          <w:tcPr>
            <w:tcW w:w="1188" w:type="dxa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E0E4A" w:rsidRPr="00DC4602" w:rsidRDefault="000E0E4A" w:rsidP="00BE2510">
            <w:pPr>
              <w:rPr>
                <w:rFonts w:asciiTheme="minorHAnsi" w:hAnsiTheme="minorHAnsi" w:cstheme="minorHAnsi"/>
                <w:b/>
                <w:smallCaps/>
                <w:sz w:val="22"/>
              </w:rPr>
            </w:pPr>
            <w:bookmarkStart w:id="0" w:name="_GoBack"/>
            <w:bookmarkEnd w:id="0"/>
            <w:r w:rsidRPr="00DC4602">
              <w:rPr>
                <w:rFonts w:asciiTheme="minorHAnsi" w:hAnsiTheme="minorHAnsi" w:cstheme="minorHAnsi"/>
                <w:b/>
                <w:smallCaps/>
                <w:sz w:val="22"/>
              </w:rPr>
              <w:t>Policy</w:t>
            </w:r>
          </w:p>
        </w:tc>
        <w:tc>
          <w:tcPr>
            <w:tcW w:w="9720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0E0E4A" w:rsidRPr="00D02892" w:rsidRDefault="000C7563" w:rsidP="00BE25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Surgical Care Presence Requirements</w:t>
            </w:r>
          </w:p>
        </w:tc>
      </w:tr>
      <w:tr w:rsidR="000E0E4A" w:rsidRPr="00DC4602" w:rsidTr="00DC4602">
        <w:tc>
          <w:tcPr>
            <w:tcW w:w="118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E0E4A" w:rsidRPr="00DC4602" w:rsidRDefault="000E0E4A" w:rsidP="00BE2510">
            <w:pPr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DC4602">
              <w:rPr>
                <w:rFonts w:asciiTheme="minorHAnsi" w:hAnsiTheme="minorHAnsi" w:cstheme="minorHAnsi"/>
                <w:b/>
                <w:smallCaps/>
                <w:sz w:val="22"/>
              </w:rPr>
              <w:t>Sign Off</w:t>
            </w:r>
          </w:p>
        </w:tc>
        <w:tc>
          <w:tcPr>
            <w:tcW w:w="97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0E0E4A" w:rsidRPr="00D02892" w:rsidRDefault="0038419F" w:rsidP="00BE25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Robert Adler, M.D., CHLAMG Compliance Officer</w:t>
            </w:r>
          </w:p>
        </w:tc>
      </w:tr>
      <w:tr w:rsidR="000E0E4A" w:rsidRPr="00DC4602" w:rsidTr="00DC4602">
        <w:tc>
          <w:tcPr>
            <w:tcW w:w="118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E0E4A" w:rsidRPr="00DC4602" w:rsidRDefault="000E0E4A" w:rsidP="00BE2510">
            <w:pPr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DC4602">
              <w:rPr>
                <w:rFonts w:asciiTheme="minorHAnsi" w:hAnsiTheme="minorHAnsi" w:cstheme="minorHAnsi"/>
                <w:b/>
                <w:smallCaps/>
                <w:sz w:val="22"/>
              </w:rPr>
              <w:t>Issued</w:t>
            </w:r>
          </w:p>
        </w:tc>
        <w:tc>
          <w:tcPr>
            <w:tcW w:w="97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0E0E4A" w:rsidRPr="00D02892" w:rsidRDefault="000C7563" w:rsidP="004B18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July 1, 2009</w:t>
            </w:r>
          </w:p>
        </w:tc>
      </w:tr>
      <w:tr w:rsidR="000E0E4A" w:rsidRPr="00DC4602" w:rsidTr="00DC4602">
        <w:tc>
          <w:tcPr>
            <w:tcW w:w="118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E0E4A" w:rsidRPr="00DC4602" w:rsidRDefault="000E0E4A" w:rsidP="00BE2510">
            <w:pPr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DC4602">
              <w:rPr>
                <w:rFonts w:asciiTheme="minorHAnsi" w:hAnsiTheme="minorHAnsi" w:cstheme="minorHAnsi"/>
                <w:b/>
                <w:smallCaps/>
                <w:sz w:val="22"/>
              </w:rPr>
              <w:t>Revised</w:t>
            </w:r>
          </w:p>
        </w:tc>
        <w:tc>
          <w:tcPr>
            <w:tcW w:w="97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0E0E4A" w:rsidRPr="00D02892" w:rsidRDefault="00856C0E" w:rsidP="00BE25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June 6,</w:t>
            </w:r>
            <w:r w:rsidRPr="00451675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2018</w:t>
            </w:r>
          </w:p>
        </w:tc>
      </w:tr>
      <w:tr w:rsidR="000E0E4A" w:rsidRPr="00DC4602" w:rsidTr="00DC4602">
        <w:tc>
          <w:tcPr>
            <w:tcW w:w="118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E0E4A" w:rsidRPr="00DC4602" w:rsidRDefault="000E0E4A" w:rsidP="00BE2510">
            <w:pPr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DC4602">
              <w:rPr>
                <w:rFonts w:asciiTheme="minorHAnsi" w:hAnsiTheme="minorHAnsi" w:cstheme="minorHAnsi"/>
                <w:b/>
                <w:smallCaps/>
                <w:sz w:val="22"/>
              </w:rPr>
              <w:t>Number</w:t>
            </w:r>
          </w:p>
        </w:tc>
        <w:tc>
          <w:tcPr>
            <w:tcW w:w="97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0E0E4A" w:rsidRPr="00D02892" w:rsidRDefault="00856C0E" w:rsidP="00BE25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CHLAMG 15-00xx</w:t>
            </w:r>
          </w:p>
        </w:tc>
      </w:tr>
    </w:tbl>
    <w:p w:rsidR="00B335CB" w:rsidRPr="00DC4602" w:rsidRDefault="00B335CB" w:rsidP="00B335CB">
      <w:pPr>
        <w:jc w:val="both"/>
        <w:rPr>
          <w:rFonts w:asciiTheme="majorHAnsi" w:hAnsiTheme="majorHAnsi"/>
          <w:b/>
        </w:rPr>
      </w:pPr>
    </w:p>
    <w:p w:rsidR="00D75F7A" w:rsidRPr="00DC4602" w:rsidRDefault="00D75F7A" w:rsidP="00B335CB">
      <w:pPr>
        <w:jc w:val="both"/>
        <w:rPr>
          <w:rFonts w:asciiTheme="majorHAnsi" w:hAnsiTheme="majorHAnsi"/>
          <w:b/>
        </w:rPr>
      </w:pPr>
    </w:p>
    <w:p w:rsidR="000C7563" w:rsidRPr="000C7563" w:rsidRDefault="00D75F7A" w:rsidP="00DE754B">
      <w:pPr>
        <w:shd w:val="clear" w:color="auto" w:fill="F2F2F2" w:themeFill="background1" w:themeFillShade="F2"/>
        <w:spacing w:after="120"/>
        <w:jc w:val="both"/>
        <w:rPr>
          <w:rFonts w:asciiTheme="minorHAnsi" w:hAnsiTheme="minorHAnsi" w:cstheme="minorHAnsi"/>
          <w:b/>
          <w:smallCaps/>
          <w:sz w:val="28"/>
        </w:rPr>
      </w:pPr>
      <w:r w:rsidRPr="00DC4602">
        <w:rPr>
          <w:rFonts w:asciiTheme="minorHAnsi" w:hAnsiTheme="minorHAnsi" w:cstheme="minorHAnsi"/>
          <w:b/>
          <w:smallCaps/>
          <w:sz w:val="28"/>
        </w:rPr>
        <w:t>Policy</w:t>
      </w:r>
    </w:p>
    <w:p w:rsidR="000C7563" w:rsidRPr="000C7563" w:rsidRDefault="000C7563" w:rsidP="00DE754B">
      <w:pPr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>I</w:t>
      </w:r>
      <w:r w:rsidRPr="00DE754B">
        <w:rPr>
          <w:spacing w:val="-8"/>
          <w:w w:val="105"/>
          <w:sz w:val="22"/>
          <w:szCs w:val="22"/>
        </w:rPr>
        <w:t xml:space="preserve">n </w:t>
      </w:r>
      <w:r w:rsidRPr="000C7563">
        <w:rPr>
          <w:spacing w:val="-8"/>
          <w:w w:val="105"/>
          <w:sz w:val="22"/>
          <w:szCs w:val="22"/>
        </w:rPr>
        <w:t>order to bill for surgical services</w:t>
      </w:r>
      <w:r w:rsidRPr="00DE754B">
        <w:rPr>
          <w:spacing w:val="-8"/>
          <w:w w:val="105"/>
          <w:sz w:val="22"/>
          <w:szCs w:val="22"/>
          <w:vertAlign w:val="superscript"/>
        </w:rPr>
        <w:footnoteReference w:id="1"/>
      </w:r>
      <w:r w:rsidRPr="000C7563">
        <w:rPr>
          <w:spacing w:val="-8"/>
          <w:w w:val="105"/>
          <w:sz w:val="22"/>
          <w:szCs w:val="22"/>
        </w:rPr>
        <w:t xml:space="preserve">, teaching physician must be present during all critical and key portions of the procedure and be immediately </w:t>
      </w:r>
      <w:r w:rsidRPr="000C7563">
        <w:rPr>
          <w:spacing w:val="-4"/>
          <w:w w:val="105"/>
          <w:sz w:val="22"/>
          <w:szCs w:val="22"/>
        </w:rPr>
        <w:t xml:space="preserve">available to furnish services during the entire procedure.  If not </w:t>
      </w:r>
      <w:r w:rsidRPr="000C7563">
        <w:rPr>
          <w:spacing w:val="-8"/>
          <w:w w:val="105"/>
          <w:sz w:val="22"/>
          <w:szCs w:val="22"/>
        </w:rPr>
        <w:t xml:space="preserve">immediately available, he/she must arrange for another qualified surgeon to assist, if needed.  </w:t>
      </w:r>
      <w:r w:rsidR="00A208A2">
        <w:rPr>
          <w:spacing w:val="-8"/>
          <w:w w:val="105"/>
          <w:sz w:val="22"/>
          <w:szCs w:val="22"/>
        </w:rPr>
        <w:t xml:space="preserve">Medicare classifies </w:t>
      </w:r>
      <w:r w:rsidR="00A208A2">
        <w:rPr>
          <w:spacing w:val="-9"/>
          <w:w w:val="105"/>
          <w:sz w:val="22"/>
          <w:szCs w:val="22"/>
        </w:rPr>
        <w:t>f</w:t>
      </w:r>
      <w:r w:rsidRPr="000C7563">
        <w:rPr>
          <w:spacing w:val="-9"/>
          <w:w w:val="105"/>
          <w:sz w:val="22"/>
          <w:szCs w:val="22"/>
        </w:rPr>
        <w:t xml:space="preserve">ellows </w:t>
      </w:r>
      <w:r w:rsidR="00A208A2">
        <w:rPr>
          <w:spacing w:val="-9"/>
          <w:w w:val="105"/>
          <w:sz w:val="22"/>
          <w:szCs w:val="22"/>
        </w:rPr>
        <w:t xml:space="preserve">that it </w:t>
      </w:r>
      <w:r w:rsidRPr="000C7563">
        <w:rPr>
          <w:spacing w:val="-9"/>
          <w:w w:val="105"/>
          <w:sz w:val="22"/>
          <w:szCs w:val="22"/>
        </w:rPr>
        <w:t>cover</w:t>
      </w:r>
      <w:r w:rsidR="00A208A2">
        <w:rPr>
          <w:spacing w:val="-9"/>
          <w:w w:val="105"/>
          <w:sz w:val="22"/>
          <w:szCs w:val="22"/>
        </w:rPr>
        <w:t>s</w:t>
      </w:r>
      <w:r w:rsidRPr="000C7563">
        <w:rPr>
          <w:spacing w:val="-9"/>
          <w:w w:val="105"/>
          <w:sz w:val="22"/>
          <w:szCs w:val="22"/>
        </w:rPr>
        <w:t xml:space="preserve"> under GME payments as residents </w:t>
      </w:r>
      <w:r w:rsidRPr="000C7563">
        <w:rPr>
          <w:spacing w:val="-7"/>
          <w:w w:val="105"/>
          <w:sz w:val="22"/>
          <w:szCs w:val="22"/>
        </w:rPr>
        <w:t xml:space="preserve">and </w:t>
      </w:r>
      <w:r w:rsidR="00A208A2">
        <w:rPr>
          <w:spacing w:val="-7"/>
          <w:w w:val="105"/>
          <w:sz w:val="22"/>
          <w:szCs w:val="22"/>
        </w:rPr>
        <w:t>Medicare does</w:t>
      </w:r>
      <w:r w:rsidRPr="000C7563">
        <w:rPr>
          <w:spacing w:val="-7"/>
          <w:w w:val="105"/>
          <w:sz w:val="22"/>
          <w:szCs w:val="22"/>
        </w:rPr>
        <w:t xml:space="preserve"> not consider</w:t>
      </w:r>
      <w:r w:rsidR="00A208A2">
        <w:rPr>
          <w:spacing w:val="-7"/>
          <w:w w:val="105"/>
          <w:sz w:val="22"/>
          <w:szCs w:val="22"/>
        </w:rPr>
        <w:t xml:space="preserve"> them to be</w:t>
      </w:r>
      <w:r w:rsidRPr="000C7563">
        <w:rPr>
          <w:spacing w:val="-7"/>
          <w:w w:val="105"/>
          <w:sz w:val="22"/>
          <w:szCs w:val="22"/>
        </w:rPr>
        <w:t xml:space="preserve"> “qualified surgeon</w:t>
      </w:r>
      <w:r w:rsidR="00A208A2">
        <w:rPr>
          <w:spacing w:val="-7"/>
          <w:w w:val="105"/>
          <w:sz w:val="22"/>
          <w:szCs w:val="22"/>
        </w:rPr>
        <w:t>s</w:t>
      </w:r>
      <w:r w:rsidRPr="000C7563">
        <w:rPr>
          <w:spacing w:val="-7"/>
          <w:w w:val="105"/>
          <w:sz w:val="22"/>
          <w:szCs w:val="22"/>
        </w:rPr>
        <w:t xml:space="preserve">” for immediate availability </w:t>
      </w:r>
      <w:r w:rsidRPr="000C7563">
        <w:rPr>
          <w:w w:val="105"/>
          <w:sz w:val="22"/>
          <w:szCs w:val="22"/>
        </w:rPr>
        <w:t>coverage.</w:t>
      </w:r>
      <w:r w:rsidRPr="000C7563">
        <w:rPr>
          <w:spacing w:val="-8"/>
          <w:w w:val="105"/>
          <w:sz w:val="22"/>
          <w:szCs w:val="22"/>
        </w:rPr>
        <w:t xml:space="preserve">  The operative report should indicate the actual surgeon as the “physician performing the procedure</w:t>
      </w:r>
      <w:r w:rsidR="005B04F0">
        <w:rPr>
          <w:spacing w:val="-8"/>
          <w:w w:val="105"/>
          <w:sz w:val="22"/>
          <w:szCs w:val="22"/>
        </w:rPr>
        <w:t xml:space="preserve">.” </w:t>
      </w:r>
      <w:r w:rsidRPr="000C7563">
        <w:rPr>
          <w:spacing w:val="-8"/>
          <w:w w:val="105"/>
          <w:sz w:val="22"/>
          <w:szCs w:val="22"/>
        </w:rPr>
        <w:t xml:space="preserve">The </w:t>
      </w:r>
      <w:r w:rsidR="00A208A2">
        <w:rPr>
          <w:spacing w:val="-8"/>
          <w:w w:val="105"/>
          <w:sz w:val="22"/>
          <w:szCs w:val="22"/>
        </w:rPr>
        <w:t xml:space="preserve">report may list the </w:t>
      </w:r>
      <w:r w:rsidRPr="000C7563">
        <w:rPr>
          <w:spacing w:val="-8"/>
          <w:w w:val="105"/>
          <w:sz w:val="22"/>
          <w:szCs w:val="22"/>
        </w:rPr>
        <w:t xml:space="preserve">resident or fellow the assistant surgeon, as appropriate. </w:t>
      </w:r>
    </w:p>
    <w:p w:rsidR="0015530E" w:rsidRPr="002875B0" w:rsidRDefault="0015530E" w:rsidP="0015530E">
      <w:pPr>
        <w:shd w:val="clear" w:color="auto" w:fill="F2F2F2" w:themeFill="background1" w:themeFillShade="F2"/>
        <w:spacing w:after="120"/>
        <w:jc w:val="both"/>
        <w:rPr>
          <w:b/>
          <w:i/>
          <w:w w:val="105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Definitions</w:t>
      </w:r>
    </w:p>
    <w:p w:rsidR="0015530E" w:rsidRPr="000C7563" w:rsidRDefault="0015530E" w:rsidP="0015530E">
      <w:pPr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b/>
          <w:spacing w:val="-7"/>
          <w:w w:val="105"/>
          <w:sz w:val="22"/>
          <w:szCs w:val="22"/>
        </w:rPr>
        <w:t>Minor Surgery</w:t>
      </w:r>
      <w:r w:rsidRPr="000C7563">
        <w:rPr>
          <w:spacing w:val="-7"/>
          <w:w w:val="105"/>
          <w:sz w:val="22"/>
          <w:szCs w:val="22"/>
        </w:rPr>
        <w:t xml:space="preserve">: For procedures that take only a few minutes (5 </w:t>
      </w:r>
      <w:r w:rsidRPr="000C7563">
        <w:rPr>
          <w:spacing w:val="-8"/>
          <w:w w:val="105"/>
          <w:sz w:val="22"/>
          <w:szCs w:val="22"/>
        </w:rPr>
        <w:t>minutes or less) and involve little decision making once the</w:t>
      </w:r>
      <w:r>
        <w:rPr>
          <w:spacing w:val="-8"/>
          <w:w w:val="105"/>
          <w:sz w:val="22"/>
          <w:szCs w:val="22"/>
        </w:rPr>
        <w:t xml:space="preserve"> physician determines the</w:t>
      </w:r>
      <w:r w:rsidRPr="000C7563">
        <w:rPr>
          <w:spacing w:val="-8"/>
          <w:w w:val="105"/>
          <w:sz w:val="22"/>
          <w:szCs w:val="22"/>
        </w:rPr>
        <w:t xml:space="preserve"> need for the operation, the teaching physician must be present for the entire procedure in order to bill for the procedure.</w:t>
      </w:r>
    </w:p>
    <w:p w:rsidR="0015530E" w:rsidRPr="000C7563" w:rsidRDefault="0015530E" w:rsidP="0015530E">
      <w:pPr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b/>
          <w:spacing w:val="-8"/>
          <w:w w:val="105"/>
          <w:sz w:val="22"/>
          <w:szCs w:val="22"/>
        </w:rPr>
        <w:t xml:space="preserve">Major Surgery:  </w:t>
      </w:r>
      <w:r w:rsidRPr="000C7563">
        <w:rPr>
          <w:spacing w:val="-8"/>
          <w:w w:val="105"/>
          <w:sz w:val="22"/>
          <w:szCs w:val="22"/>
        </w:rPr>
        <w:t xml:space="preserve">Procedures that have a global billing period of 90 days.  </w:t>
      </w:r>
      <w:r>
        <w:rPr>
          <w:spacing w:val="-8"/>
          <w:w w:val="105"/>
          <w:sz w:val="22"/>
          <w:szCs w:val="22"/>
        </w:rPr>
        <w:t>Medicare assigns g</w:t>
      </w:r>
      <w:r w:rsidRPr="000C7563">
        <w:rPr>
          <w:spacing w:val="-8"/>
          <w:w w:val="105"/>
          <w:sz w:val="22"/>
          <w:szCs w:val="22"/>
        </w:rPr>
        <w:t>lobal periods at the CPT code level.  When a procedure is dangerous or complex, the teaching physician must be present during all critical portions of the procedure and must be immediately available to furnish assistance during the entire procedure.</w:t>
      </w:r>
    </w:p>
    <w:p w:rsidR="0015530E" w:rsidRPr="000C7563" w:rsidRDefault="0015530E" w:rsidP="0015530E">
      <w:pPr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b/>
          <w:spacing w:val="-8"/>
          <w:w w:val="105"/>
          <w:sz w:val="22"/>
          <w:szCs w:val="22"/>
        </w:rPr>
        <w:t>*Key Portion:</w:t>
      </w:r>
      <w:r w:rsidRPr="000C7563">
        <w:rPr>
          <w:spacing w:val="-8"/>
          <w:w w:val="105"/>
          <w:sz w:val="22"/>
          <w:szCs w:val="22"/>
        </w:rPr>
        <w:t xml:space="preserve">  The “key portion” of a surgical procedure to mean everything that takes place between opening and closing of the patient.  However, sometimes the opening and/or closing of the patient may indeed be the “key portion” of the procedure.  In these cases, the teaching physician must also be available at those times.</w:t>
      </w:r>
    </w:p>
    <w:p w:rsidR="0015530E" w:rsidRPr="002875B0" w:rsidRDefault="0015530E" w:rsidP="0015530E">
      <w:pPr>
        <w:shd w:val="clear" w:color="auto" w:fill="F2F2F2" w:themeFill="background1" w:themeFillShade="F2"/>
        <w:spacing w:after="120"/>
        <w:jc w:val="both"/>
        <w:rPr>
          <w:b/>
          <w:i/>
          <w:w w:val="105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Billing and Documentation Requirements</w:t>
      </w:r>
    </w:p>
    <w:p w:rsidR="0015530E" w:rsidRPr="000C7563" w:rsidRDefault="0015530E" w:rsidP="0015530E">
      <w:pPr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 xml:space="preserve">In order to appropriately bill for surgical procedures </w:t>
      </w:r>
      <w:r>
        <w:rPr>
          <w:spacing w:val="-8"/>
          <w:w w:val="105"/>
          <w:sz w:val="22"/>
          <w:szCs w:val="22"/>
        </w:rPr>
        <w:t xml:space="preserve">that a resident performs or the teaching physician </w:t>
      </w:r>
      <w:r w:rsidRPr="000C7563">
        <w:rPr>
          <w:spacing w:val="-8"/>
          <w:w w:val="105"/>
          <w:sz w:val="22"/>
          <w:szCs w:val="22"/>
        </w:rPr>
        <w:t>perform</w:t>
      </w:r>
      <w:r>
        <w:rPr>
          <w:spacing w:val="-8"/>
          <w:w w:val="105"/>
          <w:sz w:val="22"/>
          <w:szCs w:val="22"/>
        </w:rPr>
        <w:t>s</w:t>
      </w:r>
      <w:r w:rsidRPr="000C7563">
        <w:rPr>
          <w:spacing w:val="-8"/>
          <w:w w:val="105"/>
          <w:sz w:val="22"/>
          <w:szCs w:val="22"/>
        </w:rPr>
        <w:t xml:space="preserve"> with residents, the teaching physician must:</w:t>
      </w:r>
    </w:p>
    <w:p w:rsidR="0015530E" w:rsidRPr="000C7563" w:rsidRDefault="0015530E" w:rsidP="0015530E">
      <w:pPr>
        <w:numPr>
          <w:ilvl w:val="0"/>
          <w:numId w:val="34"/>
        </w:numPr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>Be present during critical and key portions &amp; immediately available throughout surgical operations and endoscopic procedures</w:t>
      </w:r>
    </w:p>
    <w:p w:rsidR="0015530E" w:rsidRPr="000C7563" w:rsidRDefault="0015530E" w:rsidP="0015530E">
      <w:pPr>
        <w:numPr>
          <w:ilvl w:val="0"/>
          <w:numId w:val="34"/>
        </w:numPr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>The teaching physician decides what portions of the operation or procedure are “key*”</w:t>
      </w:r>
    </w:p>
    <w:p w:rsidR="0015530E" w:rsidRPr="000C7563" w:rsidRDefault="0015530E" w:rsidP="0015530E">
      <w:pPr>
        <w:numPr>
          <w:ilvl w:val="0"/>
          <w:numId w:val="34"/>
        </w:numPr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 xml:space="preserve">If present the entire time, the resident’s operative report can attest to the teaching physician’s presence.  </w:t>
      </w:r>
    </w:p>
    <w:p w:rsidR="0015530E" w:rsidRPr="000C7563" w:rsidRDefault="0015530E" w:rsidP="0015530E">
      <w:pPr>
        <w:numPr>
          <w:ilvl w:val="1"/>
          <w:numId w:val="34"/>
        </w:numPr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>Both the resident and the teaching physician must sign the operative report</w:t>
      </w:r>
    </w:p>
    <w:p w:rsidR="0015530E" w:rsidRPr="000C7563" w:rsidRDefault="0015530E" w:rsidP="0015530E">
      <w:pPr>
        <w:numPr>
          <w:ilvl w:val="0"/>
          <w:numId w:val="34"/>
        </w:numPr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>If the teaching physician is present for the key portions only, the teaching physician must document the extent of his/her involvement.</w:t>
      </w:r>
    </w:p>
    <w:p w:rsidR="0015530E" w:rsidRPr="000C7563" w:rsidRDefault="0015530E" w:rsidP="0015530E">
      <w:pPr>
        <w:numPr>
          <w:ilvl w:val="1"/>
          <w:numId w:val="34"/>
        </w:numPr>
        <w:spacing w:after="120"/>
        <w:jc w:val="both"/>
        <w:outlineLvl w:val="0"/>
        <w:rPr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>Teaching physician must add an addendum to the resident’s operative report.</w:t>
      </w:r>
      <w:r w:rsidRPr="000C7563">
        <w:rPr>
          <w:color w:val="00339A"/>
          <w:spacing w:val="-2"/>
          <w:w w:val="105"/>
          <w:sz w:val="22"/>
          <w:szCs w:val="22"/>
        </w:rPr>
        <w:t xml:space="preserve"> </w:t>
      </w:r>
    </w:p>
    <w:p w:rsidR="0015530E" w:rsidRPr="000C7563" w:rsidRDefault="0015530E" w:rsidP="0015530E">
      <w:pPr>
        <w:spacing w:after="120"/>
        <w:jc w:val="both"/>
        <w:outlineLvl w:val="0"/>
        <w:rPr>
          <w:b/>
          <w:spacing w:val="-6"/>
          <w:w w:val="105"/>
          <w:sz w:val="22"/>
          <w:szCs w:val="22"/>
        </w:rPr>
      </w:pPr>
      <w:r w:rsidRPr="000C7563">
        <w:rPr>
          <w:b/>
          <w:spacing w:val="-7"/>
          <w:w w:val="105"/>
          <w:sz w:val="22"/>
          <w:szCs w:val="22"/>
        </w:rPr>
        <w:lastRenderedPageBreak/>
        <w:t>Single Surgery</w:t>
      </w:r>
      <w:r w:rsidRPr="000C7563">
        <w:rPr>
          <w:spacing w:val="-7"/>
          <w:w w:val="105"/>
          <w:sz w:val="22"/>
          <w:szCs w:val="22"/>
        </w:rPr>
        <w:t xml:space="preserve">: If teaching physician is present for entire surgery, </w:t>
      </w:r>
      <w:r>
        <w:rPr>
          <w:spacing w:val="-7"/>
          <w:w w:val="105"/>
          <w:sz w:val="22"/>
          <w:szCs w:val="22"/>
        </w:rPr>
        <w:t>the physician or resident may document the physician’s presence.</w:t>
      </w:r>
      <w:r w:rsidRPr="000C7563">
        <w:rPr>
          <w:w w:val="105"/>
          <w:sz w:val="22"/>
          <w:szCs w:val="22"/>
        </w:rPr>
        <w:t xml:space="preserve"> </w:t>
      </w:r>
    </w:p>
    <w:p w:rsidR="0015530E" w:rsidRPr="000C7563" w:rsidRDefault="0015530E" w:rsidP="0015530E">
      <w:pPr>
        <w:spacing w:after="120"/>
        <w:jc w:val="both"/>
        <w:outlineLvl w:val="0"/>
        <w:rPr>
          <w:spacing w:val="-4"/>
          <w:w w:val="105"/>
          <w:sz w:val="22"/>
          <w:szCs w:val="22"/>
        </w:rPr>
      </w:pPr>
      <w:r w:rsidRPr="000C7563">
        <w:rPr>
          <w:b/>
          <w:spacing w:val="-6"/>
          <w:w w:val="105"/>
          <w:sz w:val="22"/>
          <w:szCs w:val="22"/>
        </w:rPr>
        <w:t>Two overlapping Surgeries</w:t>
      </w:r>
      <w:r w:rsidRPr="000C7563">
        <w:rPr>
          <w:spacing w:val="-6"/>
          <w:w w:val="105"/>
          <w:sz w:val="22"/>
          <w:szCs w:val="22"/>
        </w:rPr>
        <w:t xml:space="preserve">: Teaching physician must be present </w:t>
      </w:r>
      <w:r w:rsidRPr="000C7563">
        <w:rPr>
          <w:spacing w:val="-7"/>
          <w:w w:val="105"/>
          <w:sz w:val="22"/>
          <w:szCs w:val="22"/>
        </w:rPr>
        <w:t xml:space="preserve">during critical/key portions of both surgeries, which cannot take place at </w:t>
      </w:r>
      <w:r w:rsidRPr="000C7563">
        <w:rPr>
          <w:spacing w:val="-4"/>
          <w:w w:val="105"/>
          <w:sz w:val="22"/>
          <w:szCs w:val="22"/>
        </w:rPr>
        <w:t xml:space="preserve">the same time. </w:t>
      </w:r>
    </w:p>
    <w:p w:rsidR="0015530E" w:rsidRPr="000C7563" w:rsidRDefault="0015530E" w:rsidP="0015530E">
      <w:pPr>
        <w:numPr>
          <w:ilvl w:val="0"/>
          <w:numId w:val="34"/>
        </w:numPr>
        <w:tabs>
          <w:tab w:val="num" w:pos="1080"/>
        </w:tabs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 xml:space="preserve">Teaching physician must personally document in the medical record that he/she was physically present during the critical/key portions of both procedures.  </w:t>
      </w:r>
    </w:p>
    <w:p w:rsidR="0015530E" w:rsidRPr="000C7563" w:rsidRDefault="0015530E" w:rsidP="0015530E">
      <w:pPr>
        <w:numPr>
          <w:ilvl w:val="0"/>
          <w:numId w:val="34"/>
        </w:numPr>
        <w:tabs>
          <w:tab w:val="num" w:pos="1080"/>
        </w:tabs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 xml:space="preserve"> Teaching physician must arrange for another qualified surgeon to immediately assist the resident in the other case should the need arise.  </w:t>
      </w:r>
    </w:p>
    <w:p w:rsidR="0015530E" w:rsidRPr="000C7563" w:rsidRDefault="0015530E" w:rsidP="0015530E">
      <w:pPr>
        <w:spacing w:after="120"/>
        <w:jc w:val="both"/>
        <w:outlineLvl w:val="0"/>
        <w:rPr>
          <w:spacing w:val="-7"/>
          <w:w w:val="105"/>
          <w:sz w:val="22"/>
          <w:szCs w:val="22"/>
        </w:rPr>
      </w:pPr>
      <w:r w:rsidRPr="000C7563">
        <w:rPr>
          <w:b/>
          <w:spacing w:val="-7"/>
          <w:w w:val="105"/>
          <w:sz w:val="22"/>
          <w:szCs w:val="22"/>
        </w:rPr>
        <w:t>Three concurrent surgeries</w:t>
      </w:r>
      <w:r w:rsidRPr="000C7563">
        <w:rPr>
          <w:spacing w:val="-7"/>
          <w:w w:val="105"/>
          <w:sz w:val="22"/>
          <w:szCs w:val="22"/>
        </w:rPr>
        <w:t xml:space="preserve">: Are not payable under Medicare or </w:t>
      </w:r>
      <w:proofErr w:type="spellStart"/>
      <w:r w:rsidRPr="000C7563">
        <w:rPr>
          <w:spacing w:val="-7"/>
          <w:w w:val="105"/>
          <w:sz w:val="22"/>
          <w:szCs w:val="22"/>
        </w:rPr>
        <w:t>Medi</w:t>
      </w:r>
      <w:proofErr w:type="spellEnd"/>
      <w:r w:rsidRPr="000C7563">
        <w:rPr>
          <w:spacing w:val="-7"/>
          <w:w w:val="105"/>
          <w:sz w:val="22"/>
          <w:szCs w:val="22"/>
        </w:rPr>
        <w:t>-Cal guidelines</w:t>
      </w:r>
    </w:p>
    <w:p w:rsidR="003C711B" w:rsidRPr="000C7563" w:rsidRDefault="003C711B" w:rsidP="003C711B">
      <w:pPr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b/>
          <w:spacing w:val="-7"/>
          <w:w w:val="105"/>
          <w:sz w:val="22"/>
          <w:szCs w:val="22"/>
        </w:rPr>
        <w:t>Endoscopic Procedures</w:t>
      </w:r>
      <w:r w:rsidRPr="000C7563">
        <w:rPr>
          <w:spacing w:val="-7"/>
          <w:w w:val="105"/>
          <w:sz w:val="22"/>
          <w:szCs w:val="22"/>
        </w:rPr>
        <w:t xml:space="preserve">: In order to bill, teaching physician must be </w:t>
      </w:r>
      <w:r w:rsidRPr="000C7563">
        <w:rPr>
          <w:spacing w:val="-5"/>
          <w:w w:val="105"/>
          <w:sz w:val="22"/>
          <w:szCs w:val="22"/>
        </w:rPr>
        <w:t xml:space="preserve">present during the entire viewing.  Entire viewing starts at the time of </w:t>
      </w:r>
      <w:r w:rsidRPr="000C7563">
        <w:rPr>
          <w:spacing w:val="-8"/>
          <w:w w:val="105"/>
          <w:sz w:val="22"/>
          <w:szCs w:val="22"/>
        </w:rPr>
        <w:t xml:space="preserve">insertion of the endoscope and ends at the time of removal of the </w:t>
      </w:r>
      <w:r w:rsidRPr="000C7563">
        <w:rPr>
          <w:spacing w:val="-7"/>
          <w:w w:val="105"/>
          <w:sz w:val="22"/>
          <w:szCs w:val="22"/>
        </w:rPr>
        <w:t xml:space="preserve">endoscope.  Viewing through a monitor in another room does not meet the teaching physician presence requirements.  </w:t>
      </w:r>
    </w:p>
    <w:p w:rsidR="000C7563" w:rsidRPr="000C7563" w:rsidRDefault="000C7563" w:rsidP="00DE754B">
      <w:pPr>
        <w:spacing w:after="120"/>
        <w:jc w:val="both"/>
        <w:outlineLvl w:val="0"/>
        <w:rPr>
          <w:spacing w:val="-7"/>
          <w:w w:val="105"/>
          <w:sz w:val="22"/>
          <w:szCs w:val="22"/>
        </w:rPr>
      </w:pPr>
      <w:r w:rsidRPr="000C7563">
        <w:rPr>
          <w:b/>
          <w:spacing w:val="-7"/>
          <w:w w:val="105"/>
          <w:sz w:val="22"/>
          <w:szCs w:val="22"/>
        </w:rPr>
        <w:t xml:space="preserve">Follow-up Inpatient Care for the Postoperative Patient:  </w:t>
      </w:r>
      <w:r w:rsidRPr="000C7563">
        <w:rPr>
          <w:spacing w:val="-7"/>
          <w:w w:val="105"/>
          <w:sz w:val="22"/>
          <w:szCs w:val="22"/>
        </w:rPr>
        <w:t xml:space="preserve">While the patient is in-house, </w:t>
      </w:r>
      <w:r w:rsidR="00A208A2">
        <w:rPr>
          <w:spacing w:val="-7"/>
          <w:w w:val="105"/>
          <w:sz w:val="22"/>
          <w:szCs w:val="22"/>
        </w:rPr>
        <w:t xml:space="preserve">Medicare and </w:t>
      </w:r>
      <w:proofErr w:type="spellStart"/>
      <w:r w:rsidR="00A208A2">
        <w:rPr>
          <w:spacing w:val="-7"/>
          <w:w w:val="105"/>
          <w:sz w:val="22"/>
          <w:szCs w:val="22"/>
        </w:rPr>
        <w:t>Medi</w:t>
      </w:r>
      <w:proofErr w:type="spellEnd"/>
      <w:r w:rsidR="00A208A2">
        <w:rPr>
          <w:spacing w:val="-7"/>
          <w:w w:val="105"/>
          <w:sz w:val="22"/>
          <w:szCs w:val="22"/>
        </w:rPr>
        <w:t xml:space="preserve">-Cal require the primary surgeon to furnish </w:t>
      </w:r>
      <w:r w:rsidRPr="000C7563">
        <w:rPr>
          <w:spacing w:val="-7"/>
          <w:w w:val="105"/>
          <w:sz w:val="22"/>
          <w:szCs w:val="22"/>
        </w:rPr>
        <w:t>postoperative</w:t>
      </w:r>
      <w:r w:rsidR="00451675">
        <w:rPr>
          <w:spacing w:val="-7"/>
          <w:w w:val="105"/>
          <w:sz w:val="22"/>
          <w:szCs w:val="22"/>
        </w:rPr>
        <w:t xml:space="preserve"> care</w:t>
      </w:r>
      <w:r w:rsidRPr="000C7563">
        <w:rPr>
          <w:spacing w:val="-7"/>
          <w:w w:val="105"/>
          <w:sz w:val="22"/>
          <w:szCs w:val="22"/>
        </w:rPr>
        <w:t>.</w:t>
      </w:r>
    </w:p>
    <w:p w:rsidR="000C7563" w:rsidRPr="000C7563" w:rsidRDefault="000C7563" w:rsidP="00DE754B">
      <w:pPr>
        <w:numPr>
          <w:ilvl w:val="0"/>
          <w:numId w:val="34"/>
        </w:numPr>
        <w:tabs>
          <w:tab w:val="num" w:pos="720"/>
        </w:tabs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proofErr w:type="spellStart"/>
      <w:r w:rsidRPr="000C7563">
        <w:rPr>
          <w:spacing w:val="-8"/>
          <w:w w:val="105"/>
          <w:sz w:val="22"/>
          <w:szCs w:val="22"/>
        </w:rPr>
        <w:t>Medi</w:t>
      </w:r>
      <w:proofErr w:type="spellEnd"/>
      <w:r w:rsidRPr="000C7563">
        <w:rPr>
          <w:spacing w:val="-8"/>
          <w:w w:val="105"/>
          <w:sz w:val="22"/>
          <w:szCs w:val="22"/>
        </w:rPr>
        <w:t xml:space="preserve">-Cal requires daily post-operative visits by the primary surgeon during the patient’s hospital stay.  </w:t>
      </w:r>
      <w:proofErr w:type="spellStart"/>
      <w:r w:rsidR="00A208A2">
        <w:rPr>
          <w:spacing w:val="-8"/>
          <w:w w:val="105"/>
          <w:sz w:val="22"/>
          <w:szCs w:val="22"/>
        </w:rPr>
        <w:t>Medi</w:t>
      </w:r>
      <w:proofErr w:type="spellEnd"/>
      <w:r w:rsidR="00A208A2">
        <w:rPr>
          <w:spacing w:val="-8"/>
          <w:w w:val="105"/>
          <w:sz w:val="22"/>
          <w:szCs w:val="22"/>
        </w:rPr>
        <w:t>-Cal considers p</w:t>
      </w:r>
      <w:r w:rsidRPr="000C7563">
        <w:rPr>
          <w:spacing w:val="-8"/>
          <w:w w:val="105"/>
          <w:sz w:val="22"/>
          <w:szCs w:val="22"/>
        </w:rPr>
        <w:t xml:space="preserve">ostoperative visits </w:t>
      </w:r>
      <w:r w:rsidR="00A208A2">
        <w:rPr>
          <w:spacing w:val="-8"/>
          <w:w w:val="105"/>
          <w:sz w:val="22"/>
          <w:szCs w:val="22"/>
        </w:rPr>
        <w:t>to be</w:t>
      </w:r>
      <w:r w:rsidRPr="000C7563">
        <w:rPr>
          <w:spacing w:val="-8"/>
          <w:w w:val="105"/>
          <w:sz w:val="22"/>
          <w:szCs w:val="22"/>
        </w:rPr>
        <w:t xml:space="preserve"> part of the surgical global package and not separately billable.</w:t>
      </w:r>
    </w:p>
    <w:p w:rsidR="000C7563" w:rsidRPr="000C7563" w:rsidRDefault="000C7563" w:rsidP="00DE754B">
      <w:pPr>
        <w:numPr>
          <w:ilvl w:val="0"/>
          <w:numId w:val="34"/>
        </w:numPr>
        <w:tabs>
          <w:tab w:val="num" w:pos="720"/>
        </w:tabs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>Medicare requires that the primary surgeon at a teaching hospital provide the key and critical portion of the post-operative service, which is at least one day of the hospital stay.</w:t>
      </w:r>
    </w:p>
    <w:p w:rsidR="000C7563" w:rsidRPr="00A25560" w:rsidRDefault="000C7563" w:rsidP="00DE754B">
      <w:pPr>
        <w:shd w:val="clear" w:color="auto" w:fill="F2F2F2" w:themeFill="background1" w:themeFillShade="F2"/>
        <w:spacing w:after="120"/>
        <w:jc w:val="both"/>
        <w:rPr>
          <w:b/>
          <w:i/>
          <w:w w:val="105"/>
          <w:sz w:val="28"/>
          <w:szCs w:val="28"/>
          <w:u w:val="single"/>
        </w:rPr>
      </w:pPr>
      <w:r w:rsidRPr="00A25560">
        <w:rPr>
          <w:rFonts w:asciiTheme="minorHAnsi" w:hAnsiTheme="minorHAnsi" w:cstheme="minorHAnsi"/>
          <w:b/>
          <w:smallCaps/>
          <w:sz w:val="28"/>
          <w:szCs w:val="28"/>
        </w:rPr>
        <w:t>Standard Usage of Modifiers in Surgery</w:t>
      </w:r>
    </w:p>
    <w:p w:rsidR="000C7563" w:rsidRPr="000C7563" w:rsidRDefault="000C7563" w:rsidP="00DE754B">
      <w:pPr>
        <w:spacing w:before="180" w:after="120"/>
        <w:jc w:val="both"/>
        <w:rPr>
          <w:w w:val="105"/>
          <w:sz w:val="22"/>
          <w:szCs w:val="22"/>
        </w:rPr>
      </w:pPr>
      <w:r w:rsidRPr="000C7563">
        <w:rPr>
          <w:w w:val="105"/>
          <w:sz w:val="22"/>
          <w:szCs w:val="22"/>
        </w:rPr>
        <w:t xml:space="preserve">In order to report surgical procedures completely and accurately, it is sometimes necessary to append modifiers, which “modify” the CPT code.  These modifiers generally affect payment, so it is important that </w:t>
      </w:r>
      <w:r w:rsidR="00A208A2">
        <w:rPr>
          <w:w w:val="105"/>
          <w:sz w:val="22"/>
          <w:szCs w:val="22"/>
        </w:rPr>
        <w:t xml:space="preserve">staff </w:t>
      </w:r>
      <w:r w:rsidRPr="000C7563">
        <w:rPr>
          <w:w w:val="105"/>
          <w:sz w:val="22"/>
          <w:szCs w:val="22"/>
        </w:rPr>
        <w:t>append</w:t>
      </w:r>
      <w:r w:rsidR="00A208A2">
        <w:rPr>
          <w:w w:val="105"/>
          <w:sz w:val="22"/>
          <w:szCs w:val="22"/>
        </w:rPr>
        <w:t xml:space="preserve"> them</w:t>
      </w:r>
      <w:r w:rsidRPr="000C7563">
        <w:rPr>
          <w:w w:val="105"/>
          <w:sz w:val="22"/>
          <w:szCs w:val="22"/>
        </w:rPr>
        <w:t xml:space="preserve"> correctly.   </w:t>
      </w:r>
    </w:p>
    <w:p w:rsidR="000C7563" w:rsidRPr="000C7563" w:rsidRDefault="000C7563" w:rsidP="00DE754B">
      <w:pPr>
        <w:spacing w:before="180" w:after="120"/>
        <w:jc w:val="both"/>
        <w:rPr>
          <w:w w:val="105"/>
          <w:sz w:val="22"/>
          <w:szCs w:val="22"/>
        </w:rPr>
      </w:pPr>
      <w:r w:rsidRPr="000C7563">
        <w:rPr>
          <w:b/>
          <w:w w:val="105"/>
          <w:sz w:val="22"/>
          <w:szCs w:val="22"/>
        </w:rPr>
        <w:t xml:space="preserve">Modifier -57: Decision for Surgery.  </w:t>
      </w:r>
      <w:r w:rsidRPr="000C7563">
        <w:rPr>
          <w:w w:val="105"/>
          <w:sz w:val="22"/>
          <w:szCs w:val="22"/>
        </w:rPr>
        <w:t>Teaching physician and resident determine surgery is necessary at the time of an Evaluation and Management Service.  Resident and teaching physician follow documentation rules for E/M services.</w:t>
      </w:r>
    </w:p>
    <w:p w:rsidR="000C7563" w:rsidRPr="005B04F0" w:rsidRDefault="000C7563" w:rsidP="005B04F0">
      <w:pPr>
        <w:numPr>
          <w:ilvl w:val="0"/>
          <w:numId w:val="34"/>
        </w:numPr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>Append modifier -57 to an E/M code when the physician evaluates the</w:t>
      </w:r>
      <w:r w:rsidR="005B04F0">
        <w:rPr>
          <w:spacing w:val="-8"/>
          <w:w w:val="105"/>
          <w:sz w:val="22"/>
          <w:szCs w:val="22"/>
        </w:rPr>
        <w:t xml:space="preserve"> </w:t>
      </w:r>
      <w:r w:rsidR="005B04F0" w:rsidRPr="005B04F0">
        <w:rPr>
          <w:spacing w:val="-8"/>
          <w:w w:val="105"/>
          <w:sz w:val="22"/>
          <w:szCs w:val="22"/>
        </w:rPr>
        <w:t>p</w:t>
      </w:r>
      <w:r w:rsidRPr="005B04F0">
        <w:rPr>
          <w:spacing w:val="-8"/>
          <w:w w:val="105"/>
          <w:sz w:val="22"/>
          <w:szCs w:val="22"/>
        </w:rPr>
        <w:t xml:space="preserve">atient, and during the evaluation determines that a major surgical procedure needs to be done. </w:t>
      </w:r>
    </w:p>
    <w:p w:rsidR="000C7563" w:rsidRPr="000C7563" w:rsidRDefault="000C7563" w:rsidP="00DE754B">
      <w:pPr>
        <w:numPr>
          <w:ilvl w:val="0"/>
          <w:numId w:val="34"/>
        </w:numPr>
        <w:tabs>
          <w:tab w:val="num" w:pos="1080"/>
        </w:tabs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5B04F0">
        <w:rPr>
          <w:b/>
          <w:spacing w:val="-8"/>
          <w:w w:val="105"/>
          <w:sz w:val="22"/>
          <w:szCs w:val="22"/>
        </w:rPr>
        <w:t>Major</w:t>
      </w:r>
      <w:r w:rsidRPr="000C7563">
        <w:rPr>
          <w:spacing w:val="-8"/>
          <w:w w:val="105"/>
          <w:sz w:val="22"/>
          <w:szCs w:val="22"/>
        </w:rPr>
        <w:t xml:space="preserve"> is defined as a procedure with a 90-day follow-up care.  This is not the same history and exam that a physician would normally do for the pre-op portion of the surgical package</w:t>
      </w:r>
    </w:p>
    <w:p w:rsidR="000C7563" w:rsidRPr="000C7563" w:rsidRDefault="000C7563" w:rsidP="00DE754B">
      <w:pPr>
        <w:numPr>
          <w:ilvl w:val="0"/>
          <w:numId w:val="34"/>
        </w:numPr>
        <w:tabs>
          <w:tab w:val="num" w:pos="1080"/>
        </w:tabs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 xml:space="preserve">Global surgical services include pre-, intra-, and post-operative services. </w:t>
      </w:r>
    </w:p>
    <w:p w:rsidR="000C7563" w:rsidRPr="000C7563" w:rsidRDefault="000C7563" w:rsidP="00DE754B">
      <w:pPr>
        <w:spacing w:after="120"/>
        <w:ind w:right="72"/>
        <w:jc w:val="both"/>
        <w:rPr>
          <w:spacing w:val="-4"/>
          <w:w w:val="105"/>
          <w:sz w:val="22"/>
          <w:szCs w:val="22"/>
        </w:rPr>
      </w:pPr>
      <w:r w:rsidRPr="000C7563">
        <w:rPr>
          <w:b/>
          <w:spacing w:val="-4"/>
          <w:w w:val="105"/>
          <w:sz w:val="22"/>
          <w:szCs w:val="22"/>
        </w:rPr>
        <w:t>Modifier -54:  Surgical Care Only</w:t>
      </w:r>
      <w:r w:rsidRPr="000C7563">
        <w:rPr>
          <w:spacing w:val="-4"/>
          <w:w w:val="105"/>
          <w:sz w:val="22"/>
          <w:szCs w:val="22"/>
        </w:rPr>
        <w:t xml:space="preserve"> </w:t>
      </w:r>
    </w:p>
    <w:p w:rsidR="000C7563" w:rsidRPr="000C7563" w:rsidRDefault="000C7563" w:rsidP="00DE754B">
      <w:pPr>
        <w:numPr>
          <w:ilvl w:val="0"/>
          <w:numId w:val="34"/>
        </w:numPr>
        <w:tabs>
          <w:tab w:val="num" w:pos="1080"/>
        </w:tabs>
        <w:spacing w:after="1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8"/>
          <w:w w:val="105"/>
          <w:sz w:val="22"/>
          <w:szCs w:val="22"/>
        </w:rPr>
        <w:t xml:space="preserve">If the primary surgeon performs only the surgery, </w:t>
      </w:r>
      <w:r w:rsidR="00A208A2">
        <w:rPr>
          <w:spacing w:val="-8"/>
          <w:w w:val="105"/>
          <w:sz w:val="22"/>
          <w:szCs w:val="22"/>
        </w:rPr>
        <w:t xml:space="preserve">staff must use </w:t>
      </w:r>
      <w:r w:rsidRPr="000C7563">
        <w:rPr>
          <w:spacing w:val="-8"/>
          <w:w w:val="105"/>
          <w:sz w:val="22"/>
          <w:szCs w:val="22"/>
        </w:rPr>
        <w:t xml:space="preserve">Modifier -54 to indicate that the primary surgeon performed no post-operative services, </w:t>
      </w:r>
      <w:r w:rsidRPr="000C7563">
        <w:rPr>
          <w:spacing w:val="-7"/>
          <w:w w:val="105"/>
          <w:sz w:val="22"/>
          <w:szCs w:val="22"/>
        </w:rPr>
        <w:t xml:space="preserve">and the </w:t>
      </w:r>
      <w:r w:rsidR="00A208A2">
        <w:rPr>
          <w:spacing w:val="-7"/>
          <w:w w:val="105"/>
          <w:sz w:val="22"/>
          <w:szCs w:val="22"/>
        </w:rPr>
        <w:t xml:space="preserve">carrier will reduce the </w:t>
      </w:r>
      <w:r w:rsidRPr="000C7563">
        <w:rPr>
          <w:spacing w:val="-7"/>
          <w:w w:val="105"/>
          <w:sz w:val="22"/>
          <w:szCs w:val="22"/>
        </w:rPr>
        <w:t xml:space="preserve">global surgical fee to reflect the services </w:t>
      </w:r>
    </w:p>
    <w:p w:rsidR="00611245" w:rsidRDefault="000C7563" w:rsidP="00DE754B">
      <w:pPr>
        <w:spacing w:before="36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7563">
        <w:rPr>
          <w:b/>
          <w:spacing w:val="-2"/>
          <w:w w:val="105"/>
          <w:sz w:val="22"/>
          <w:szCs w:val="22"/>
        </w:rPr>
        <w:t xml:space="preserve">Modifier -80:  </w:t>
      </w:r>
      <w:r w:rsidR="00611245" w:rsidRPr="00A25560">
        <w:rPr>
          <w:rFonts w:asciiTheme="minorHAnsi" w:hAnsiTheme="minorHAnsi" w:cstheme="minorHAnsi"/>
          <w:color w:val="000000"/>
          <w:sz w:val="22"/>
          <w:szCs w:val="22"/>
        </w:rPr>
        <w:t xml:space="preserve">This modifier should be reported to identify surgical assistant services performed in a non-teaching setting or in a teaching setting when a resident was available but the surgeon opted not to use the resident. In the latter case, the service is generally not covered by Medicare. </w:t>
      </w:r>
    </w:p>
    <w:p w:rsidR="00611245" w:rsidRDefault="00611245" w:rsidP="00A25560">
      <w:pPr>
        <w:spacing w:before="36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A25560">
        <w:rPr>
          <w:rFonts w:asciiTheme="minorHAnsi" w:hAnsiTheme="minorHAnsi" w:cstheme="minorHAnsi"/>
          <w:b/>
          <w:color w:val="000000"/>
          <w:sz w:val="22"/>
          <w:szCs w:val="22"/>
        </w:rPr>
        <w:t>Non-Teaching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Setting</w:t>
      </w:r>
      <w:r w:rsidRPr="00A25560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11245" w:rsidRDefault="00611245" w:rsidP="00A25560">
      <w:pPr>
        <w:spacing w:before="36" w:after="120"/>
        <w:rPr>
          <w:rFonts w:ascii="Arial" w:hAnsi="Arial" w:cs="Arial"/>
          <w:color w:val="000000"/>
          <w:sz w:val="21"/>
          <w:szCs w:val="21"/>
        </w:rPr>
      </w:pPr>
      <w:r w:rsidRPr="00A25560">
        <w:rPr>
          <w:rFonts w:asciiTheme="minorHAnsi" w:hAnsiTheme="minorHAnsi" w:cstheme="minorHAnsi"/>
          <w:color w:val="000000"/>
          <w:sz w:val="22"/>
          <w:szCs w:val="22"/>
        </w:rPr>
        <w:t>When the surgical services are performed in a non-teaching setting, report “Non-teaching” in the narrative section of an electronic claim submission, or in Block 24D for paper</w:t>
      </w:r>
      <w:r>
        <w:rPr>
          <w:rFonts w:ascii="Arial" w:hAnsi="Arial" w:cs="Arial"/>
          <w:color w:val="000000"/>
          <w:sz w:val="21"/>
          <w:szCs w:val="21"/>
        </w:rPr>
        <w:t xml:space="preserve"> claims.</w:t>
      </w:r>
    </w:p>
    <w:p w:rsidR="00611245" w:rsidRDefault="00611245" w:rsidP="00A25560">
      <w:pPr>
        <w:spacing w:before="36" w:after="120"/>
        <w:rPr>
          <w:b/>
          <w:spacing w:val="-2"/>
          <w:w w:val="105"/>
          <w:sz w:val="22"/>
          <w:szCs w:val="22"/>
        </w:rPr>
      </w:pPr>
      <w:r>
        <w:rPr>
          <w:b/>
          <w:spacing w:val="-2"/>
          <w:w w:val="105"/>
          <w:sz w:val="22"/>
          <w:szCs w:val="22"/>
        </w:rPr>
        <w:lastRenderedPageBreak/>
        <w:t>Teaching Setting:</w:t>
      </w:r>
    </w:p>
    <w:p w:rsidR="000C7563" w:rsidRPr="000C7563" w:rsidRDefault="000C7563" w:rsidP="00DE754B">
      <w:pPr>
        <w:spacing w:before="36" w:after="120"/>
        <w:jc w:val="both"/>
        <w:rPr>
          <w:spacing w:val="-8"/>
          <w:w w:val="105"/>
          <w:sz w:val="22"/>
          <w:szCs w:val="22"/>
        </w:rPr>
      </w:pPr>
      <w:r w:rsidRPr="000C7563">
        <w:rPr>
          <w:b/>
          <w:spacing w:val="-2"/>
          <w:w w:val="105"/>
          <w:sz w:val="22"/>
          <w:szCs w:val="22"/>
        </w:rPr>
        <w:t xml:space="preserve">Assistant at Surgery.  </w:t>
      </w:r>
      <w:r w:rsidR="00A208A2" w:rsidRPr="00A25560">
        <w:rPr>
          <w:spacing w:val="-2"/>
          <w:w w:val="105"/>
          <w:sz w:val="22"/>
          <w:szCs w:val="22"/>
        </w:rPr>
        <w:t>Payers reimburse</w:t>
      </w:r>
      <w:r w:rsidRPr="000C7563">
        <w:rPr>
          <w:spacing w:val="-4"/>
          <w:w w:val="105"/>
          <w:sz w:val="22"/>
          <w:szCs w:val="22"/>
        </w:rPr>
        <w:t xml:space="preserve"> assistants at surgery in a teaching </w:t>
      </w:r>
      <w:r w:rsidRPr="000C7563">
        <w:rPr>
          <w:spacing w:val="-7"/>
          <w:w w:val="105"/>
          <w:sz w:val="22"/>
          <w:szCs w:val="22"/>
        </w:rPr>
        <w:t xml:space="preserve">hospital </w:t>
      </w:r>
      <w:r w:rsidR="002416AF">
        <w:rPr>
          <w:spacing w:val="-7"/>
          <w:w w:val="105"/>
          <w:sz w:val="22"/>
          <w:szCs w:val="22"/>
        </w:rPr>
        <w:t>who</w:t>
      </w:r>
      <w:r w:rsidR="002416AF" w:rsidRPr="000C7563">
        <w:rPr>
          <w:spacing w:val="-7"/>
          <w:w w:val="105"/>
          <w:sz w:val="22"/>
          <w:szCs w:val="22"/>
        </w:rPr>
        <w:t xml:space="preserve"> </w:t>
      </w:r>
      <w:r w:rsidRPr="000C7563">
        <w:rPr>
          <w:spacing w:val="-7"/>
          <w:w w:val="105"/>
          <w:sz w:val="22"/>
          <w:szCs w:val="22"/>
        </w:rPr>
        <w:t>ha</w:t>
      </w:r>
      <w:r w:rsidR="00EC2762">
        <w:rPr>
          <w:spacing w:val="-7"/>
          <w:w w:val="105"/>
          <w:sz w:val="22"/>
          <w:szCs w:val="22"/>
        </w:rPr>
        <w:t>ve</w:t>
      </w:r>
      <w:r w:rsidRPr="000C7563">
        <w:rPr>
          <w:spacing w:val="-7"/>
          <w:w w:val="105"/>
          <w:sz w:val="22"/>
          <w:szCs w:val="22"/>
        </w:rPr>
        <w:t xml:space="preserve"> a training program related to the medical specialty required for the surgical procedures and a qualified resident is available </w:t>
      </w:r>
      <w:r w:rsidRPr="000C7563">
        <w:rPr>
          <w:spacing w:val="-8"/>
          <w:w w:val="105"/>
          <w:sz w:val="22"/>
          <w:szCs w:val="22"/>
        </w:rPr>
        <w:t xml:space="preserve">to perform the services. </w:t>
      </w:r>
    </w:p>
    <w:p w:rsidR="000C7563" w:rsidRPr="000C7563" w:rsidRDefault="000C7563" w:rsidP="00DE754B">
      <w:pPr>
        <w:spacing w:before="36" w:after="120"/>
        <w:jc w:val="both"/>
        <w:rPr>
          <w:spacing w:val="-6"/>
          <w:w w:val="105"/>
          <w:sz w:val="22"/>
          <w:szCs w:val="22"/>
        </w:rPr>
      </w:pPr>
      <w:r w:rsidRPr="00A25560">
        <w:rPr>
          <w:b/>
          <w:spacing w:val="-4"/>
          <w:w w:val="105"/>
          <w:sz w:val="22"/>
          <w:szCs w:val="22"/>
          <w:u w:val="single"/>
        </w:rPr>
        <w:t>For Medicare patients only</w:t>
      </w:r>
      <w:r w:rsidRPr="000C7563">
        <w:rPr>
          <w:spacing w:val="-4"/>
          <w:w w:val="105"/>
          <w:sz w:val="22"/>
          <w:szCs w:val="22"/>
        </w:rPr>
        <w:t>:  Medicare does not allow payment for assistant at surgery when a qualified resident is available to</w:t>
      </w:r>
      <w:r w:rsidR="00EC2762">
        <w:rPr>
          <w:spacing w:val="-4"/>
          <w:w w:val="105"/>
          <w:sz w:val="22"/>
          <w:szCs w:val="22"/>
        </w:rPr>
        <w:t xml:space="preserve"> </w:t>
      </w:r>
      <w:r w:rsidRPr="000C7563">
        <w:rPr>
          <w:spacing w:val="-4"/>
          <w:w w:val="105"/>
          <w:sz w:val="22"/>
          <w:szCs w:val="22"/>
        </w:rPr>
        <w:t xml:space="preserve">perform that function.  However, if there is no qualified resident available to perform services, the </w:t>
      </w:r>
      <w:r w:rsidRPr="000C7563">
        <w:rPr>
          <w:spacing w:val="-7"/>
          <w:w w:val="105"/>
          <w:sz w:val="22"/>
          <w:szCs w:val="22"/>
        </w:rPr>
        <w:t xml:space="preserve">assistant at surgery may bill if </w:t>
      </w:r>
      <w:r w:rsidR="002416AF">
        <w:rPr>
          <w:spacing w:val="-7"/>
          <w:w w:val="105"/>
          <w:sz w:val="22"/>
          <w:szCs w:val="22"/>
        </w:rPr>
        <w:t>he or she files a</w:t>
      </w:r>
      <w:r w:rsidRPr="000C7563">
        <w:rPr>
          <w:spacing w:val="-7"/>
          <w:w w:val="105"/>
          <w:sz w:val="22"/>
          <w:szCs w:val="22"/>
        </w:rPr>
        <w:t xml:space="preserve"> “certification of unavailability of </w:t>
      </w:r>
      <w:r w:rsidRPr="000C7563">
        <w:rPr>
          <w:spacing w:val="-8"/>
          <w:w w:val="105"/>
          <w:sz w:val="22"/>
          <w:szCs w:val="22"/>
        </w:rPr>
        <w:t>qualified resident</w:t>
      </w:r>
      <w:r w:rsidR="002416AF">
        <w:rPr>
          <w:spacing w:val="-8"/>
          <w:w w:val="105"/>
          <w:sz w:val="22"/>
          <w:szCs w:val="22"/>
        </w:rPr>
        <w:t>.</w:t>
      </w:r>
      <w:r w:rsidRPr="000C7563">
        <w:rPr>
          <w:spacing w:val="-8"/>
          <w:w w:val="105"/>
          <w:sz w:val="22"/>
          <w:szCs w:val="22"/>
        </w:rPr>
        <w:t xml:space="preserve">”   </w:t>
      </w:r>
      <w:r w:rsidR="002416AF">
        <w:rPr>
          <w:spacing w:val="-8"/>
          <w:w w:val="105"/>
          <w:sz w:val="22"/>
          <w:szCs w:val="22"/>
        </w:rPr>
        <w:t>The assistant may attach the form to the claim or preprint the Billing Clam Form CMS-1500.</w:t>
      </w:r>
      <w:r w:rsidRPr="000C7563">
        <w:rPr>
          <w:spacing w:val="-6"/>
          <w:w w:val="105"/>
          <w:sz w:val="22"/>
          <w:szCs w:val="22"/>
        </w:rPr>
        <w:t xml:space="preserve">  The certificate must state:</w:t>
      </w:r>
    </w:p>
    <w:p w:rsidR="000C7563" w:rsidRPr="000C7563" w:rsidRDefault="000C7563" w:rsidP="0064414E">
      <w:pPr>
        <w:spacing w:after="120"/>
        <w:ind w:left="720"/>
        <w:jc w:val="both"/>
        <w:outlineLvl w:val="0"/>
        <w:rPr>
          <w:spacing w:val="-8"/>
          <w:w w:val="105"/>
          <w:sz w:val="22"/>
          <w:szCs w:val="22"/>
        </w:rPr>
      </w:pPr>
      <w:r w:rsidRPr="000C7563">
        <w:rPr>
          <w:spacing w:val="-11"/>
          <w:w w:val="105"/>
          <w:sz w:val="22"/>
          <w:szCs w:val="22"/>
        </w:rPr>
        <w:t>“I understand that § 1 842(b)(7)(D) of the Social Security Act</w:t>
      </w:r>
      <w:r w:rsidR="00DE754B" w:rsidRPr="00DE754B">
        <w:rPr>
          <w:spacing w:val="-11"/>
          <w:w w:val="105"/>
          <w:sz w:val="22"/>
          <w:szCs w:val="22"/>
        </w:rPr>
        <w:t xml:space="preserve"> </w:t>
      </w:r>
      <w:r w:rsidRPr="000C7563">
        <w:rPr>
          <w:spacing w:val="-9"/>
          <w:w w:val="105"/>
          <w:sz w:val="22"/>
          <w:szCs w:val="22"/>
        </w:rPr>
        <w:t>generally prohibits  Part B reasonable charge payment for</w:t>
      </w:r>
      <w:r w:rsidR="00DE754B" w:rsidRPr="00DE754B">
        <w:rPr>
          <w:spacing w:val="-11"/>
          <w:w w:val="105"/>
          <w:sz w:val="22"/>
          <w:szCs w:val="22"/>
        </w:rPr>
        <w:t xml:space="preserve"> </w:t>
      </w:r>
      <w:r w:rsidRPr="000C7563">
        <w:rPr>
          <w:spacing w:val="-7"/>
          <w:w w:val="105"/>
          <w:sz w:val="22"/>
          <w:szCs w:val="22"/>
        </w:rPr>
        <w:t>the services of assistants at surgery in teaching hospitals when</w:t>
      </w:r>
      <w:r w:rsidR="00DE754B" w:rsidRPr="00DE754B">
        <w:rPr>
          <w:spacing w:val="-11"/>
          <w:w w:val="105"/>
          <w:sz w:val="22"/>
          <w:szCs w:val="22"/>
        </w:rPr>
        <w:t xml:space="preserve"> </w:t>
      </w:r>
      <w:r w:rsidRPr="000C7563">
        <w:rPr>
          <w:spacing w:val="-5"/>
          <w:w w:val="105"/>
          <w:sz w:val="22"/>
          <w:szCs w:val="22"/>
        </w:rPr>
        <w:t>qualified residents are available.  I certify that the services for</w:t>
      </w:r>
      <w:r w:rsidR="00DE754B" w:rsidRPr="00DE754B">
        <w:rPr>
          <w:spacing w:val="-11"/>
          <w:w w:val="105"/>
          <w:sz w:val="22"/>
          <w:szCs w:val="22"/>
        </w:rPr>
        <w:t xml:space="preserve"> </w:t>
      </w:r>
      <w:r w:rsidRPr="000C7563">
        <w:rPr>
          <w:spacing w:val="-8"/>
          <w:w w:val="105"/>
          <w:sz w:val="22"/>
          <w:szCs w:val="22"/>
        </w:rPr>
        <w:t>which payment is claimed were medically necessary, and that no</w:t>
      </w:r>
      <w:r w:rsidR="00DE754B" w:rsidRPr="00DE754B">
        <w:rPr>
          <w:spacing w:val="-11"/>
          <w:w w:val="105"/>
          <w:sz w:val="22"/>
          <w:szCs w:val="22"/>
        </w:rPr>
        <w:t xml:space="preserve"> </w:t>
      </w:r>
      <w:r w:rsidRPr="000C7563">
        <w:rPr>
          <w:spacing w:val="-6"/>
          <w:w w:val="105"/>
          <w:sz w:val="22"/>
          <w:szCs w:val="22"/>
        </w:rPr>
        <w:t>qualified resident was available to perform the services.  I further</w:t>
      </w:r>
      <w:r w:rsidR="00DE754B" w:rsidRPr="00DE754B">
        <w:rPr>
          <w:spacing w:val="-11"/>
          <w:w w:val="105"/>
          <w:sz w:val="22"/>
          <w:szCs w:val="22"/>
        </w:rPr>
        <w:t xml:space="preserve"> </w:t>
      </w:r>
      <w:r w:rsidRPr="000C7563">
        <w:rPr>
          <w:spacing w:val="-8"/>
          <w:w w:val="105"/>
          <w:sz w:val="22"/>
          <w:szCs w:val="22"/>
        </w:rPr>
        <w:t>understand that these services are subject to post-payment review</w:t>
      </w:r>
      <w:r w:rsidRPr="00DE754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2A1E" wp14:editId="32EF8A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8411C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N9T4SCcCAABP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 w:rsidR="00DE754B" w:rsidRPr="00DE754B">
        <w:rPr>
          <w:spacing w:val="-11"/>
          <w:w w:val="105"/>
          <w:sz w:val="22"/>
          <w:szCs w:val="22"/>
        </w:rPr>
        <w:t xml:space="preserve"> </w:t>
      </w:r>
      <w:r w:rsidRPr="000C7563">
        <w:rPr>
          <w:spacing w:val="-8"/>
          <w:w w:val="105"/>
          <w:sz w:val="22"/>
          <w:szCs w:val="22"/>
        </w:rPr>
        <w:t>by carrier.”</w:t>
      </w:r>
    </w:p>
    <w:p w:rsidR="00D75F7A" w:rsidRPr="00DC2A41" w:rsidRDefault="00D75F7A" w:rsidP="00DC2A41">
      <w:pPr>
        <w:kinsoku w:val="0"/>
        <w:overflowPunct w:val="0"/>
        <w:autoSpaceDE w:val="0"/>
        <w:autoSpaceDN w:val="0"/>
        <w:adjustRightInd w:val="0"/>
        <w:spacing w:after="120"/>
        <w:ind w:left="39" w:right="214"/>
        <w:jc w:val="both"/>
        <w:rPr>
          <w:spacing w:val="-1"/>
          <w:sz w:val="22"/>
          <w:szCs w:val="22"/>
        </w:rPr>
      </w:pPr>
    </w:p>
    <w:sectPr w:rsidR="00D75F7A" w:rsidRPr="00DC2A41" w:rsidSect="00D75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98" w:rsidRDefault="00724A98">
      <w:r>
        <w:separator/>
      </w:r>
    </w:p>
  </w:endnote>
  <w:endnote w:type="continuationSeparator" w:id="0">
    <w:p w:rsidR="00724A98" w:rsidRDefault="0072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C6" w:rsidRDefault="00852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55" w:rsidRPr="008C4B55" w:rsidRDefault="008C4B55" w:rsidP="008526C6">
    <w:pPr>
      <w:pStyle w:val="Footer"/>
      <w:jc w:val="right"/>
      <w:rPr>
        <w:sz w:val="20"/>
      </w:rPr>
    </w:pPr>
    <w:r w:rsidRPr="008C4B55">
      <w:rPr>
        <w:sz w:val="20"/>
      </w:rPr>
      <w:t xml:space="preserve">Page </w:t>
    </w:r>
    <w:r w:rsidRPr="008C4B55">
      <w:rPr>
        <w:sz w:val="20"/>
      </w:rPr>
      <w:fldChar w:fldCharType="begin"/>
    </w:r>
    <w:r w:rsidRPr="008C4B55">
      <w:rPr>
        <w:sz w:val="20"/>
      </w:rPr>
      <w:instrText xml:space="preserve"> PAGE   \* MERGEFORMAT </w:instrText>
    </w:r>
    <w:r w:rsidRPr="008C4B55">
      <w:rPr>
        <w:sz w:val="20"/>
      </w:rPr>
      <w:fldChar w:fldCharType="separate"/>
    </w:r>
    <w:r w:rsidR="00A25560">
      <w:rPr>
        <w:noProof/>
        <w:sz w:val="20"/>
      </w:rPr>
      <w:t>3</w:t>
    </w:r>
    <w:r w:rsidRPr="008C4B55">
      <w:rPr>
        <w:sz w:val="20"/>
      </w:rPr>
      <w:fldChar w:fldCharType="end"/>
    </w:r>
    <w:r w:rsidRPr="008C4B55">
      <w:rPr>
        <w:sz w:val="20"/>
      </w:rPr>
      <w:t xml:space="preserve"> of </w:t>
    </w:r>
    <w:r w:rsidRPr="008C4B55">
      <w:rPr>
        <w:sz w:val="20"/>
      </w:rPr>
      <w:fldChar w:fldCharType="begin"/>
    </w:r>
    <w:r w:rsidRPr="008C4B55">
      <w:rPr>
        <w:sz w:val="20"/>
      </w:rPr>
      <w:instrText xml:space="preserve"> NUMPAGES  \* Arabic  \* MERGEFORMAT </w:instrText>
    </w:r>
    <w:r w:rsidRPr="008C4B55">
      <w:rPr>
        <w:sz w:val="20"/>
      </w:rPr>
      <w:fldChar w:fldCharType="separate"/>
    </w:r>
    <w:r w:rsidR="00A25560">
      <w:rPr>
        <w:noProof/>
        <w:sz w:val="20"/>
      </w:rPr>
      <w:t>3</w:t>
    </w:r>
    <w:r w:rsidRPr="008C4B55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C6" w:rsidRDefault="00852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98" w:rsidRDefault="00724A98">
      <w:r>
        <w:separator/>
      </w:r>
    </w:p>
  </w:footnote>
  <w:footnote w:type="continuationSeparator" w:id="0">
    <w:p w:rsidR="00724A98" w:rsidRDefault="00724A98">
      <w:r>
        <w:continuationSeparator/>
      </w:r>
    </w:p>
  </w:footnote>
  <w:footnote w:id="1">
    <w:p w:rsidR="000C7563" w:rsidRDefault="000C7563" w:rsidP="000C75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pacing w:val="-8"/>
          <w:w w:val="105"/>
        </w:rPr>
        <w:t xml:space="preserve">The term “surgery” and/or “operative note” include therapeutic and diagnostic </w:t>
      </w:r>
      <w:r w:rsidRPr="00DF3FF2">
        <w:rPr>
          <w:i/>
          <w:spacing w:val="-8"/>
          <w:w w:val="105"/>
        </w:rPr>
        <w:t>procedures</w:t>
      </w:r>
      <w:r>
        <w:rPr>
          <w:spacing w:val="-8"/>
          <w:w w:val="105"/>
        </w:rPr>
        <w:t xml:space="preserve"> that require documentation to support the medical necessity and billing of the service.  Examples include but are not limited to endoscopic, cardiovascular, neurologic, hematologic, and/or Integumentary </w:t>
      </w:r>
      <w:r w:rsidRPr="00DF3FF2">
        <w:rPr>
          <w:i/>
          <w:spacing w:val="-8"/>
          <w:w w:val="105"/>
        </w:rPr>
        <w:t>procedures</w:t>
      </w:r>
      <w:r>
        <w:rPr>
          <w:spacing w:val="-8"/>
          <w:w w:val="105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C6" w:rsidRDefault="00852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C6" w:rsidRDefault="008526C6" w:rsidP="008526C6">
    <w:pPr>
      <w:pStyle w:val="Header"/>
      <w:ind w:left="2880" w:firstLine="3600"/>
      <w:rPr>
        <w:rFonts w:ascii="Garamond" w:hAnsi="Garamon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DB947E" wp14:editId="21DC6B16">
          <wp:simplePos x="0" y="0"/>
          <wp:positionH relativeFrom="column">
            <wp:posOffset>2456180</wp:posOffset>
          </wp:positionH>
          <wp:positionV relativeFrom="paragraph">
            <wp:posOffset>-238125</wp:posOffset>
          </wp:positionV>
          <wp:extent cx="2080895" cy="5524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C6" w:rsidRPr="000E0E4A" w:rsidRDefault="008526C6" w:rsidP="008526C6">
    <w:pPr>
      <w:jc w:val="center"/>
      <w:rPr>
        <w:rFonts w:asciiTheme="majorHAnsi" w:hAnsiTheme="majorHAnsi"/>
        <w:b/>
        <w:sz w:val="28"/>
        <w:szCs w:val="28"/>
        <w:u w:val="single"/>
      </w:rPr>
    </w:pPr>
  </w:p>
  <w:p w:rsidR="008526C6" w:rsidRPr="00DC4602" w:rsidRDefault="008526C6" w:rsidP="008526C6">
    <w:pPr>
      <w:jc w:val="center"/>
      <w:rPr>
        <w:rFonts w:asciiTheme="minorHAnsi" w:hAnsiTheme="minorHAnsi" w:cstheme="minorHAnsi"/>
        <w:smallCaps/>
        <w:sz w:val="28"/>
        <w:szCs w:val="28"/>
      </w:rPr>
    </w:pPr>
    <w:r w:rsidRPr="00DC4602">
      <w:rPr>
        <w:rFonts w:asciiTheme="minorHAnsi" w:hAnsiTheme="minorHAnsi" w:cstheme="minorHAnsi"/>
        <w:b/>
        <w:smallCaps/>
        <w:sz w:val="28"/>
        <w:szCs w:val="28"/>
        <w:u w:val="single"/>
      </w:rPr>
      <w:t>Children’s Hospital Los Angeles Medical Group</w:t>
    </w:r>
  </w:p>
  <w:p w:rsidR="008526C6" w:rsidRPr="00DC4602" w:rsidRDefault="008526C6" w:rsidP="008526C6">
    <w:pPr>
      <w:jc w:val="center"/>
      <w:rPr>
        <w:rFonts w:asciiTheme="minorHAnsi" w:hAnsiTheme="minorHAnsi" w:cstheme="minorHAnsi"/>
        <w:b/>
        <w:smallCaps/>
      </w:rPr>
    </w:pPr>
    <w:r w:rsidRPr="00DC4602">
      <w:rPr>
        <w:rFonts w:asciiTheme="minorHAnsi" w:hAnsiTheme="minorHAnsi" w:cstheme="minorHAnsi"/>
        <w:b/>
        <w:smallCaps/>
      </w:rPr>
      <w:t>Compliance Policy Manual</w:t>
    </w:r>
  </w:p>
  <w:p w:rsidR="00382063" w:rsidRDefault="00382063" w:rsidP="00BE2510">
    <w:pPr>
      <w:pStyle w:val="Header"/>
      <w:ind w:left="2880" w:firstLine="3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C6" w:rsidRDefault="00852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360" w:hanging="540"/>
      </w:pPr>
    </w:lvl>
    <w:lvl w:ilvl="2">
      <w:numFmt w:val="bullet"/>
      <w:lvlText w:val="•"/>
      <w:lvlJc w:val="left"/>
      <w:pPr>
        <w:ind w:left="2180" w:hanging="540"/>
      </w:pPr>
    </w:lvl>
    <w:lvl w:ilvl="3">
      <w:numFmt w:val="bullet"/>
      <w:lvlText w:val="•"/>
      <w:lvlJc w:val="left"/>
      <w:pPr>
        <w:ind w:left="3000" w:hanging="540"/>
      </w:pPr>
    </w:lvl>
    <w:lvl w:ilvl="4">
      <w:numFmt w:val="bullet"/>
      <w:lvlText w:val="•"/>
      <w:lvlJc w:val="left"/>
      <w:pPr>
        <w:ind w:left="3820" w:hanging="540"/>
      </w:pPr>
    </w:lvl>
    <w:lvl w:ilvl="5">
      <w:numFmt w:val="bullet"/>
      <w:lvlText w:val="•"/>
      <w:lvlJc w:val="left"/>
      <w:pPr>
        <w:ind w:left="4640" w:hanging="540"/>
      </w:pPr>
    </w:lvl>
    <w:lvl w:ilvl="6">
      <w:numFmt w:val="bullet"/>
      <w:lvlText w:val="•"/>
      <w:lvlJc w:val="left"/>
      <w:pPr>
        <w:ind w:left="5460" w:hanging="540"/>
      </w:pPr>
    </w:lvl>
    <w:lvl w:ilvl="7">
      <w:numFmt w:val="bullet"/>
      <w:lvlText w:val="•"/>
      <w:lvlJc w:val="left"/>
      <w:pPr>
        <w:ind w:left="6280" w:hanging="540"/>
      </w:pPr>
    </w:lvl>
    <w:lvl w:ilvl="8">
      <w:numFmt w:val="bullet"/>
      <w:lvlText w:val="•"/>
      <w:lvlJc w:val="left"/>
      <w:pPr>
        <w:ind w:left="7100" w:hanging="540"/>
      </w:pPr>
    </w:lvl>
  </w:abstractNum>
  <w:abstractNum w:abstractNumId="1" w15:restartNumberingAfterBreak="0">
    <w:nsid w:val="01792BEB"/>
    <w:multiLevelType w:val="hybridMultilevel"/>
    <w:tmpl w:val="F6B88636"/>
    <w:lvl w:ilvl="0" w:tplc="794E00A6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09D3"/>
    <w:multiLevelType w:val="hybridMultilevel"/>
    <w:tmpl w:val="12EA019C"/>
    <w:lvl w:ilvl="0" w:tplc="A4CA4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A75F9"/>
    <w:multiLevelType w:val="hybridMultilevel"/>
    <w:tmpl w:val="2ABE16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338C6"/>
    <w:multiLevelType w:val="hybridMultilevel"/>
    <w:tmpl w:val="B4D62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82948"/>
    <w:multiLevelType w:val="hybridMultilevel"/>
    <w:tmpl w:val="C7467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E07B1"/>
    <w:multiLevelType w:val="hybridMultilevel"/>
    <w:tmpl w:val="E2AA4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7D56"/>
    <w:multiLevelType w:val="hybridMultilevel"/>
    <w:tmpl w:val="29BA18C2"/>
    <w:lvl w:ilvl="0" w:tplc="A4CA4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54FA8"/>
    <w:multiLevelType w:val="hybridMultilevel"/>
    <w:tmpl w:val="938288FA"/>
    <w:lvl w:ilvl="0" w:tplc="DBA4D12C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F0A5F"/>
    <w:multiLevelType w:val="hybridMultilevel"/>
    <w:tmpl w:val="0F66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D67B7"/>
    <w:multiLevelType w:val="hybridMultilevel"/>
    <w:tmpl w:val="2A021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F23C6"/>
    <w:multiLevelType w:val="hybridMultilevel"/>
    <w:tmpl w:val="6A4093A6"/>
    <w:lvl w:ilvl="0" w:tplc="8F3C6A6E">
      <w:start w:val="1"/>
      <w:numFmt w:val="decimal"/>
      <w:lvlText w:val="%1."/>
      <w:lvlJc w:val="left"/>
      <w:pPr>
        <w:ind w:left="3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2DAF6112"/>
    <w:multiLevelType w:val="hybridMultilevel"/>
    <w:tmpl w:val="F230D2C8"/>
    <w:lvl w:ilvl="0" w:tplc="60BEE10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275387"/>
    <w:multiLevelType w:val="hybridMultilevel"/>
    <w:tmpl w:val="3522D7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AB7B26"/>
    <w:multiLevelType w:val="multilevel"/>
    <w:tmpl w:val="52D423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C2755AE"/>
    <w:multiLevelType w:val="hybridMultilevel"/>
    <w:tmpl w:val="623863C6"/>
    <w:lvl w:ilvl="0" w:tplc="A4CA4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C05D80"/>
    <w:multiLevelType w:val="hybridMultilevel"/>
    <w:tmpl w:val="6896BE9E"/>
    <w:lvl w:ilvl="0" w:tplc="8DD821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20E8F"/>
    <w:multiLevelType w:val="hybridMultilevel"/>
    <w:tmpl w:val="8C8EB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DBA4D12C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2" w:tplc="3C120AC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0088C"/>
    <w:multiLevelType w:val="hybridMultilevel"/>
    <w:tmpl w:val="0992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74CB0"/>
    <w:multiLevelType w:val="hybridMultilevel"/>
    <w:tmpl w:val="7AFC8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F70A01"/>
    <w:multiLevelType w:val="hybridMultilevel"/>
    <w:tmpl w:val="05724ABC"/>
    <w:lvl w:ilvl="0" w:tplc="CA8020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D33FD9"/>
    <w:multiLevelType w:val="hybridMultilevel"/>
    <w:tmpl w:val="3432AC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4100"/>
    <w:multiLevelType w:val="hybridMultilevel"/>
    <w:tmpl w:val="9E246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241F5B"/>
    <w:multiLevelType w:val="hybridMultilevel"/>
    <w:tmpl w:val="37BA3C32"/>
    <w:lvl w:ilvl="0" w:tplc="A14EC5D6">
      <w:start w:val="1"/>
      <w:numFmt w:val="decimal"/>
      <w:lvlText w:val="%1."/>
      <w:lvlJc w:val="left"/>
      <w:pPr>
        <w:ind w:left="47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4" w15:restartNumberingAfterBreak="0">
    <w:nsid w:val="5A1B10EE"/>
    <w:multiLevelType w:val="hybridMultilevel"/>
    <w:tmpl w:val="49244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5670"/>
    <w:multiLevelType w:val="hybridMultilevel"/>
    <w:tmpl w:val="930A60F8"/>
    <w:lvl w:ilvl="0" w:tplc="794E00A6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FB45E7"/>
    <w:multiLevelType w:val="hybridMultilevel"/>
    <w:tmpl w:val="FB385C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276B86"/>
    <w:multiLevelType w:val="hybridMultilevel"/>
    <w:tmpl w:val="3310657A"/>
    <w:lvl w:ilvl="0" w:tplc="A4CA4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F4395"/>
    <w:multiLevelType w:val="multilevel"/>
    <w:tmpl w:val="E1A2B7B0"/>
    <w:lvl w:ilvl="0">
      <w:start w:val="1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29" w15:restartNumberingAfterBreak="0">
    <w:nsid w:val="6AA45D30"/>
    <w:multiLevelType w:val="hybridMultilevel"/>
    <w:tmpl w:val="1C265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E8304A"/>
    <w:multiLevelType w:val="hybridMultilevel"/>
    <w:tmpl w:val="DDE8C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F576BB"/>
    <w:multiLevelType w:val="hybridMultilevel"/>
    <w:tmpl w:val="7F50C262"/>
    <w:lvl w:ilvl="0" w:tplc="A14EC5D6">
      <w:start w:val="1"/>
      <w:numFmt w:val="decimal"/>
      <w:lvlText w:val="%1."/>
      <w:lvlJc w:val="left"/>
      <w:pPr>
        <w:ind w:left="5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717C7A74"/>
    <w:multiLevelType w:val="hybridMultilevel"/>
    <w:tmpl w:val="F230D2C8"/>
    <w:lvl w:ilvl="0" w:tplc="60BEE10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76E1B8D"/>
    <w:multiLevelType w:val="hybridMultilevel"/>
    <w:tmpl w:val="C3B0A7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DBA4D12C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2" w:tplc="3C120AC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18"/>
  </w:num>
  <w:num w:numId="5">
    <w:abstractNumId w:val="14"/>
  </w:num>
  <w:num w:numId="6">
    <w:abstractNumId w:val="28"/>
  </w:num>
  <w:num w:numId="7">
    <w:abstractNumId w:val="20"/>
  </w:num>
  <w:num w:numId="8">
    <w:abstractNumId w:val="16"/>
  </w:num>
  <w:num w:numId="9">
    <w:abstractNumId w:val="29"/>
  </w:num>
  <w:num w:numId="10">
    <w:abstractNumId w:val="3"/>
  </w:num>
  <w:num w:numId="11">
    <w:abstractNumId w:val="19"/>
  </w:num>
  <w:num w:numId="12">
    <w:abstractNumId w:val="12"/>
  </w:num>
  <w:num w:numId="13">
    <w:abstractNumId w:val="32"/>
  </w:num>
  <w:num w:numId="14">
    <w:abstractNumId w:val="26"/>
  </w:num>
  <w:num w:numId="15">
    <w:abstractNumId w:val="23"/>
  </w:num>
  <w:num w:numId="16">
    <w:abstractNumId w:val="31"/>
  </w:num>
  <w:num w:numId="17">
    <w:abstractNumId w:val="21"/>
  </w:num>
  <w:num w:numId="18">
    <w:abstractNumId w:val="30"/>
  </w:num>
  <w:num w:numId="19">
    <w:abstractNumId w:val="7"/>
  </w:num>
  <w:num w:numId="20">
    <w:abstractNumId w:val="27"/>
  </w:num>
  <w:num w:numId="21">
    <w:abstractNumId w:val="2"/>
  </w:num>
  <w:num w:numId="22">
    <w:abstractNumId w:val="15"/>
  </w:num>
  <w:num w:numId="23">
    <w:abstractNumId w:val="24"/>
  </w:num>
  <w:num w:numId="24">
    <w:abstractNumId w:val="10"/>
  </w:num>
  <w:num w:numId="25">
    <w:abstractNumId w:val="13"/>
  </w:num>
  <w:num w:numId="26">
    <w:abstractNumId w:val="0"/>
  </w:num>
  <w:num w:numId="27">
    <w:abstractNumId w:val="11"/>
  </w:num>
  <w:num w:numId="28">
    <w:abstractNumId w:val="33"/>
  </w:num>
  <w:num w:numId="29">
    <w:abstractNumId w:val="6"/>
  </w:num>
  <w:num w:numId="30">
    <w:abstractNumId w:val="22"/>
  </w:num>
  <w:num w:numId="31">
    <w:abstractNumId w:val="5"/>
  </w:num>
  <w:num w:numId="32">
    <w:abstractNumId w:val="17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5"/>
    <w:rsid w:val="00006D84"/>
    <w:rsid w:val="0006706D"/>
    <w:rsid w:val="00074CEA"/>
    <w:rsid w:val="0007663C"/>
    <w:rsid w:val="0008139F"/>
    <w:rsid w:val="000B68B3"/>
    <w:rsid w:val="000C7563"/>
    <w:rsid w:val="000E0E4A"/>
    <w:rsid w:val="00136DB7"/>
    <w:rsid w:val="00142882"/>
    <w:rsid w:val="00143148"/>
    <w:rsid w:val="0015530E"/>
    <w:rsid w:val="00222EAB"/>
    <w:rsid w:val="002416AF"/>
    <w:rsid w:val="0025523D"/>
    <w:rsid w:val="002B2368"/>
    <w:rsid w:val="002C2DE5"/>
    <w:rsid w:val="002F5B67"/>
    <w:rsid w:val="00302080"/>
    <w:rsid w:val="00304FC9"/>
    <w:rsid w:val="00324BC6"/>
    <w:rsid w:val="00382063"/>
    <w:rsid w:val="0038419F"/>
    <w:rsid w:val="003B40A3"/>
    <w:rsid w:val="003B40C6"/>
    <w:rsid w:val="003C711B"/>
    <w:rsid w:val="003D4249"/>
    <w:rsid w:val="003F2127"/>
    <w:rsid w:val="00451675"/>
    <w:rsid w:val="00454511"/>
    <w:rsid w:val="004B1812"/>
    <w:rsid w:val="004E4C47"/>
    <w:rsid w:val="00591158"/>
    <w:rsid w:val="005B04F0"/>
    <w:rsid w:val="00611245"/>
    <w:rsid w:val="006326FA"/>
    <w:rsid w:val="0064414E"/>
    <w:rsid w:val="006A23D5"/>
    <w:rsid w:val="006B253A"/>
    <w:rsid w:val="00724A98"/>
    <w:rsid w:val="00726B44"/>
    <w:rsid w:val="008526C6"/>
    <w:rsid w:val="00856C0E"/>
    <w:rsid w:val="008617BA"/>
    <w:rsid w:val="008C4B55"/>
    <w:rsid w:val="00903F01"/>
    <w:rsid w:val="009E1369"/>
    <w:rsid w:val="00A135A4"/>
    <w:rsid w:val="00A163B3"/>
    <w:rsid w:val="00A208A2"/>
    <w:rsid w:val="00A25560"/>
    <w:rsid w:val="00AC7AC4"/>
    <w:rsid w:val="00AF7406"/>
    <w:rsid w:val="00B335CB"/>
    <w:rsid w:val="00B37DFF"/>
    <w:rsid w:val="00BB74EE"/>
    <w:rsid w:val="00BE2510"/>
    <w:rsid w:val="00C12F38"/>
    <w:rsid w:val="00C549FA"/>
    <w:rsid w:val="00CA4E43"/>
    <w:rsid w:val="00CB3643"/>
    <w:rsid w:val="00D02892"/>
    <w:rsid w:val="00D479BC"/>
    <w:rsid w:val="00D63632"/>
    <w:rsid w:val="00D75F7A"/>
    <w:rsid w:val="00D76EC2"/>
    <w:rsid w:val="00DA58E6"/>
    <w:rsid w:val="00DA7061"/>
    <w:rsid w:val="00DC2A41"/>
    <w:rsid w:val="00DC4602"/>
    <w:rsid w:val="00DE754B"/>
    <w:rsid w:val="00E84083"/>
    <w:rsid w:val="00EC2762"/>
    <w:rsid w:val="00EC3078"/>
    <w:rsid w:val="00F01BBE"/>
    <w:rsid w:val="00F85399"/>
    <w:rsid w:val="00F943B2"/>
    <w:rsid w:val="00FB1278"/>
    <w:rsid w:val="00FB7DAC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4CB591-47C4-453B-9494-AEE874E8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51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04FC9"/>
    <w:pPr>
      <w:autoSpaceDE w:val="0"/>
      <w:autoSpaceDN w:val="0"/>
      <w:adjustRightInd w:val="0"/>
    </w:pPr>
    <w:rPr>
      <w:rFonts w:ascii="Frutiger 55 Roman" w:eastAsia="Calibri" w:hAnsi="Frutiger 55 Roman" w:cs="Frutiger 55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04FC9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304FC9"/>
    <w:rPr>
      <w:rFonts w:ascii="Frutiger 45 Light" w:hAnsi="Frutiger 45 Light" w:cs="Frutiger 45 Light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304FC9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304FC9"/>
    <w:pPr>
      <w:spacing w:line="201" w:lineRule="atLeast"/>
    </w:pPr>
    <w:rPr>
      <w:rFonts w:cs="Times New Roman"/>
      <w:color w:val="auto"/>
    </w:rPr>
  </w:style>
  <w:style w:type="character" w:styleId="CommentReference">
    <w:name w:val="annotation reference"/>
    <w:rsid w:val="00FB7D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D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DAC"/>
  </w:style>
  <w:style w:type="paragraph" w:styleId="CommentSubject">
    <w:name w:val="annotation subject"/>
    <w:basedOn w:val="CommentText"/>
    <w:next w:val="CommentText"/>
    <w:link w:val="CommentSubjectChar"/>
    <w:rsid w:val="00FB7DAC"/>
    <w:rPr>
      <w:b/>
      <w:bCs/>
    </w:rPr>
  </w:style>
  <w:style w:type="character" w:customStyle="1" w:styleId="CommentSubjectChar">
    <w:name w:val="Comment Subject Char"/>
    <w:link w:val="CommentSubject"/>
    <w:rsid w:val="00FB7DAC"/>
    <w:rPr>
      <w:b/>
      <w:bCs/>
    </w:rPr>
  </w:style>
  <w:style w:type="paragraph" w:styleId="BalloonText">
    <w:name w:val="Balloon Text"/>
    <w:basedOn w:val="Normal"/>
    <w:link w:val="BalloonTextChar"/>
    <w:rsid w:val="00FB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7D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E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D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C3078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C307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26C6"/>
    <w:rPr>
      <w:sz w:val="24"/>
      <w:szCs w:val="24"/>
    </w:rPr>
  </w:style>
  <w:style w:type="paragraph" w:styleId="FootnoteText">
    <w:name w:val="footnote text"/>
    <w:basedOn w:val="Normal"/>
    <w:link w:val="FootnoteTextChar"/>
    <w:rsid w:val="000C75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7563"/>
  </w:style>
  <w:style w:type="character" w:styleId="FootnoteReference">
    <w:name w:val="footnote reference"/>
    <w:basedOn w:val="DefaultParagraphFont"/>
    <w:rsid w:val="000C7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liance P&amp;P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off:</vt:lpstr>
    </vt:vector>
  </TitlesOfParts>
  <Company>none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off:</dc:title>
  <dc:creator>Thomason, Masi</dc:creator>
  <cp:lastModifiedBy>Troklus, Jeffrey</cp:lastModifiedBy>
  <cp:revision>10</cp:revision>
  <cp:lastPrinted>2017-03-08T19:22:00Z</cp:lastPrinted>
  <dcterms:created xsi:type="dcterms:W3CDTF">2018-05-07T14:18:00Z</dcterms:created>
  <dcterms:modified xsi:type="dcterms:W3CDTF">2018-09-26T17:47:00Z</dcterms:modified>
</cp:coreProperties>
</file>