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D02892" w:rsidRDefault="00EF277C" w:rsidP="00BE2510">
            <w:pPr>
              <w:rPr>
                <w:rFonts w:asciiTheme="majorHAnsi" w:hAnsiTheme="majorHAnsi" w:cstheme="majorHAnsi"/>
              </w:rPr>
            </w:pPr>
            <w:r w:rsidRPr="00EF277C">
              <w:rPr>
                <w:rFonts w:asciiTheme="majorHAnsi" w:hAnsiTheme="majorHAnsi" w:cstheme="majorHAnsi"/>
              </w:rPr>
              <w:t>Responding to Requests for Information From External Agencies</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38419F" w:rsidP="00BE2510">
            <w:pPr>
              <w:rPr>
                <w:rFonts w:asciiTheme="majorHAnsi" w:hAnsiTheme="majorHAnsi" w:cstheme="majorHAnsi"/>
              </w:rPr>
            </w:pPr>
            <w:r>
              <w:rPr>
                <w:rFonts w:asciiTheme="majorHAnsi" w:hAnsiTheme="majorHAnsi" w:cstheme="majorHAnsi"/>
              </w:rPr>
              <w:t>Robert Adler,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EF277C" w:rsidP="00BE2510">
            <w:pPr>
              <w:rPr>
                <w:rFonts w:asciiTheme="majorHAnsi" w:hAnsiTheme="majorHAnsi" w:cstheme="majorHAnsi"/>
              </w:rPr>
            </w:pPr>
            <w:r>
              <w:rPr>
                <w:rFonts w:asciiTheme="majorHAnsi" w:hAnsiTheme="majorHAnsi" w:cstheme="majorHAnsi"/>
              </w:rPr>
              <w:t>July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633083" w:rsidP="00BE2510">
            <w:pPr>
              <w:rPr>
                <w:rFonts w:asciiTheme="majorHAnsi" w:hAnsiTheme="majorHAnsi" w:cstheme="majorHAnsi"/>
              </w:rPr>
            </w:pPr>
            <w:r>
              <w:rPr>
                <w:rFonts w:asciiTheme="majorHAnsi" w:hAnsiTheme="majorHAnsi" w:cstheme="majorHAnsi"/>
              </w:rPr>
              <w:t>June 6,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633083" w:rsidP="00BE2510">
            <w:pPr>
              <w:rPr>
                <w:rFonts w:asciiTheme="majorHAnsi" w:hAnsiTheme="majorHAnsi" w:cstheme="majorHAnsi"/>
              </w:rPr>
            </w:pPr>
            <w:r>
              <w:rPr>
                <w:rFonts w:asciiTheme="majorHAnsi" w:hAnsiTheme="majorHAnsi" w:cstheme="majorHAnsi"/>
              </w:rPr>
              <w:t xml:space="preserve">CHLAMG </w:t>
            </w:r>
            <w:r w:rsidR="004B4047">
              <w:rPr>
                <w:rFonts w:asciiTheme="majorHAnsi" w:hAnsiTheme="majorHAnsi" w:cstheme="majorHAnsi"/>
              </w:rPr>
              <w:t>15-0012</w:t>
            </w:r>
          </w:p>
        </w:tc>
      </w:tr>
    </w:tbl>
    <w:p w:rsidR="00B335CB" w:rsidRPr="00DC4602" w:rsidRDefault="00B335CB" w:rsidP="00B335CB">
      <w:pPr>
        <w:jc w:val="both"/>
        <w:rPr>
          <w:rFonts w:asciiTheme="majorHAnsi" w:hAnsiTheme="majorHAnsi"/>
          <w:b/>
        </w:rPr>
      </w:pPr>
    </w:p>
    <w:p w:rsidR="00D75F7A" w:rsidRPr="00DC4602" w:rsidRDefault="00D75F7A" w:rsidP="00B335CB">
      <w:pPr>
        <w:jc w:val="both"/>
        <w:rPr>
          <w:rFonts w:asciiTheme="majorHAnsi" w:hAnsiTheme="majorHAnsi"/>
          <w:b/>
        </w:rPr>
      </w:pPr>
    </w:p>
    <w:p w:rsidR="00D75F7A" w:rsidRPr="00DC4602" w:rsidRDefault="00EF277C" w:rsidP="008C4B55">
      <w:pPr>
        <w:shd w:val="clear" w:color="auto" w:fill="F2F2F2" w:themeFill="background1" w:themeFillShade="F2"/>
        <w:spacing w:after="120"/>
        <w:jc w:val="both"/>
        <w:rPr>
          <w:rFonts w:asciiTheme="minorHAnsi" w:hAnsiTheme="minorHAnsi" w:cstheme="minorHAnsi"/>
          <w:b/>
          <w:smallCaps/>
          <w:sz w:val="28"/>
        </w:rPr>
      </w:pPr>
      <w:r>
        <w:rPr>
          <w:rFonts w:asciiTheme="minorHAnsi" w:hAnsiTheme="minorHAnsi" w:cstheme="minorHAnsi"/>
          <w:b/>
          <w:smallCaps/>
          <w:sz w:val="28"/>
        </w:rPr>
        <w:t>Policy</w:t>
      </w:r>
    </w:p>
    <w:p w:rsidR="000C38A6" w:rsidRPr="00747DB5" w:rsidRDefault="00EF277C" w:rsidP="000C38A6">
      <w:pPr>
        <w:spacing w:after="120"/>
        <w:jc w:val="both"/>
        <w:rPr>
          <w:sz w:val="22"/>
        </w:rPr>
      </w:pPr>
      <w:r w:rsidRPr="00747DB5">
        <w:rPr>
          <w:sz w:val="22"/>
        </w:rPr>
        <w:t>It is the policy of</w:t>
      </w:r>
      <w:r w:rsidRPr="00747DB5">
        <w:rPr>
          <w:b/>
          <w:sz w:val="22"/>
        </w:rPr>
        <w:t xml:space="preserve"> </w:t>
      </w:r>
      <w:r w:rsidRPr="00747DB5">
        <w:rPr>
          <w:sz w:val="22"/>
        </w:rPr>
        <w:t>CHLAMG to respond promptly and accurately to requests for information by</w:t>
      </w:r>
      <w:r w:rsidR="002F5077">
        <w:rPr>
          <w:sz w:val="22"/>
        </w:rPr>
        <w:t xml:space="preserve"> </w:t>
      </w:r>
      <w:r w:rsidRPr="00747DB5">
        <w:rPr>
          <w:sz w:val="22"/>
        </w:rPr>
        <w:t xml:space="preserve">state and federal agencies according to internal policy and external guidelines </w:t>
      </w:r>
      <w:r w:rsidR="000B38FC">
        <w:rPr>
          <w:sz w:val="22"/>
        </w:rPr>
        <w:t>and in compliance with the</w:t>
      </w:r>
      <w:r w:rsidR="00956457">
        <w:rPr>
          <w:sz w:val="22"/>
        </w:rPr>
        <w:t xml:space="preserve"> HIPAA and the HI</w:t>
      </w:r>
      <w:r w:rsidRPr="00747DB5">
        <w:rPr>
          <w:sz w:val="22"/>
        </w:rPr>
        <w:t>TEC</w:t>
      </w:r>
      <w:r w:rsidR="00956457">
        <w:rPr>
          <w:sz w:val="22"/>
        </w:rPr>
        <w:t>H</w:t>
      </w:r>
      <w:r w:rsidRPr="00747DB5">
        <w:rPr>
          <w:sz w:val="22"/>
        </w:rPr>
        <w:t xml:space="preserve"> Act.  In order to ensure that </w:t>
      </w:r>
      <w:r w:rsidR="000B38FC">
        <w:rPr>
          <w:sz w:val="22"/>
        </w:rPr>
        <w:t xml:space="preserve">staff provide </w:t>
      </w:r>
      <w:r w:rsidRPr="00747DB5">
        <w:rPr>
          <w:sz w:val="22"/>
        </w:rPr>
        <w:t>the minimum amount of information necessary in full compliance with CHLAMG policies and procedures</w:t>
      </w:r>
      <w:r w:rsidR="002F5077">
        <w:rPr>
          <w:sz w:val="22"/>
        </w:rPr>
        <w:t xml:space="preserve"> </w:t>
      </w:r>
      <w:r w:rsidRPr="00747DB5">
        <w:rPr>
          <w:sz w:val="22"/>
        </w:rPr>
        <w:t>pertaining to the business of the medical group and the Pediat</w:t>
      </w:r>
      <w:r w:rsidR="00B85DC0">
        <w:rPr>
          <w:sz w:val="22"/>
        </w:rPr>
        <w:t xml:space="preserve">ric Management Group, L.L.C., </w:t>
      </w:r>
      <w:r w:rsidR="000B38FC">
        <w:rPr>
          <w:sz w:val="22"/>
        </w:rPr>
        <w:t xml:space="preserve">staff should forward </w:t>
      </w:r>
      <w:r w:rsidRPr="00747DB5">
        <w:rPr>
          <w:sz w:val="22"/>
        </w:rPr>
        <w:t>all requests to the CHLAMG Compliance Director &amp; Privacy Officer.</w:t>
      </w:r>
    </w:p>
    <w:p w:rsidR="00EF277C" w:rsidRDefault="00EF277C" w:rsidP="000C38A6">
      <w:pPr>
        <w:spacing w:after="120"/>
        <w:jc w:val="both"/>
        <w:rPr>
          <w:rFonts w:asciiTheme="minorHAnsi" w:hAnsiTheme="minorHAnsi" w:cstheme="minorHAnsi"/>
          <w:b/>
          <w:smallCaps/>
          <w:sz w:val="28"/>
        </w:rPr>
      </w:pPr>
    </w:p>
    <w:p w:rsidR="00D75F7A" w:rsidRPr="00DC4602" w:rsidRDefault="000C2324" w:rsidP="008C4B55">
      <w:pPr>
        <w:shd w:val="clear" w:color="auto" w:fill="F2F2F2" w:themeFill="background1" w:themeFillShade="F2"/>
        <w:spacing w:after="120"/>
        <w:jc w:val="both"/>
        <w:rPr>
          <w:rFonts w:asciiTheme="minorHAnsi" w:hAnsiTheme="minorHAnsi" w:cstheme="minorHAnsi"/>
          <w:b/>
          <w:smallCaps/>
          <w:sz w:val="28"/>
        </w:rPr>
      </w:pPr>
      <w:r>
        <w:rPr>
          <w:rFonts w:asciiTheme="minorHAnsi" w:hAnsiTheme="minorHAnsi" w:cstheme="minorHAnsi"/>
          <w:b/>
          <w:smallCaps/>
          <w:sz w:val="28"/>
        </w:rPr>
        <w:t>Procedure</w:t>
      </w:r>
    </w:p>
    <w:p w:rsidR="00EF277C" w:rsidRPr="00EF277C" w:rsidRDefault="000B38FC" w:rsidP="00EF277C">
      <w:pPr>
        <w:jc w:val="both"/>
        <w:rPr>
          <w:sz w:val="22"/>
        </w:rPr>
      </w:pPr>
      <w:r>
        <w:rPr>
          <w:sz w:val="22"/>
        </w:rPr>
        <w:t>Forward a</w:t>
      </w:r>
      <w:r w:rsidR="00EF277C" w:rsidRPr="00EF277C">
        <w:rPr>
          <w:sz w:val="22"/>
        </w:rPr>
        <w:t>ll requests for copies of patient billings or other financial records by state or federal regulatory agencies to the Compliance Director upon receipt.  This includes letters, mailings, electronic mail, facsimiles, telephone calls, and personal appearances by auditors, reviewers, or surveyors.  This includes but is not limited to:</w:t>
      </w:r>
    </w:p>
    <w:p w:rsidR="00EF277C" w:rsidRPr="00EF277C" w:rsidRDefault="00EF277C" w:rsidP="00EF277C">
      <w:pPr>
        <w:jc w:val="both"/>
        <w:rPr>
          <w:sz w:val="12"/>
        </w:rPr>
      </w:pPr>
    </w:p>
    <w:p w:rsidR="00EF277C" w:rsidRPr="00EF277C" w:rsidRDefault="00EF277C" w:rsidP="00EF277C">
      <w:pPr>
        <w:numPr>
          <w:ilvl w:val="0"/>
          <w:numId w:val="20"/>
        </w:numPr>
        <w:jc w:val="both"/>
        <w:rPr>
          <w:sz w:val="22"/>
        </w:rPr>
      </w:pPr>
      <w:r w:rsidRPr="00EF277C">
        <w:rPr>
          <w:sz w:val="22"/>
        </w:rPr>
        <w:t>State of California Department of Health Care Services</w:t>
      </w:r>
    </w:p>
    <w:p w:rsidR="00EF277C" w:rsidRPr="00EF277C" w:rsidRDefault="00EF277C" w:rsidP="00EF277C">
      <w:pPr>
        <w:numPr>
          <w:ilvl w:val="0"/>
          <w:numId w:val="20"/>
        </w:numPr>
        <w:jc w:val="both"/>
        <w:rPr>
          <w:sz w:val="22"/>
        </w:rPr>
      </w:pPr>
      <w:r w:rsidRPr="00EF277C">
        <w:rPr>
          <w:sz w:val="22"/>
        </w:rPr>
        <w:t>State of California Medi-Cal Program Integrity Audits</w:t>
      </w:r>
      <w:bookmarkStart w:id="0" w:name="_GoBack"/>
      <w:bookmarkEnd w:id="0"/>
    </w:p>
    <w:p w:rsidR="00EF277C" w:rsidRPr="00EF277C" w:rsidRDefault="00EF277C" w:rsidP="00EF277C">
      <w:pPr>
        <w:numPr>
          <w:ilvl w:val="0"/>
          <w:numId w:val="20"/>
        </w:numPr>
        <w:jc w:val="both"/>
        <w:rPr>
          <w:sz w:val="22"/>
        </w:rPr>
      </w:pPr>
      <w:r w:rsidRPr="00EF277C">
        <w:rPr>
          <w:sz w:val="22"/>
        </w:rPr>
        <w:t>State of California Office of Inspector General for Medicaid (Medi-Cal) Services</w:t>
      </w:r>
    </w:p>
    <w:p w:rsidR="00EF277C" w:rsidRPr="00EF277C" w:rsidRDefault="00EF277C" w:rsidP="00EF277C">
      <w:pPr>
        <w:numPr>
          <w:ilvl w:val="0"/>
          <w:numId w:val="20"/>
        </w:numPr>
        <w:jc w:val="both"/>
        <w:rPr>
          <w:sz w:val="22"/>
        </w:rPr>
      </w:pPr>
      <w:r w:rsidRPr="00EF277C">
        <w:rPr>
          <w:sz w:val="22"/>
        </w:rPr>
        <w:t>Department of Health and Human Services Medical Expenditure Surveys</w:t>
      </w:r>
    </w:p>
    <w:p w:rsidR="00EF277C" w:rsidRPr="00EF277C" w:rsidRDefault="00EF277C" w:rsidP="00EF277C">
      <w:pPr>
        <w:numPr>
          <w:ilvl w:val="0"/>
          <w:numId w:val="20"/>
        </w:numPr>
        <w:jc w:val="both"/>
        <w:rPr>
          <w:sz w:val="22"/>
        </w:rPr>
      </w:pPr>
      <w:r w:rsidRPr="00EF277C">
        <w:rPr>
          <w:sz w:val="22"/>
        </w:rPr>
        <w:t>Department of Health and Human Services Office of Inspector General</w:t>
      </w:r>
    </w:p>
    <w:p w:rsidR="00EF277C" w:rsidRPr="00EF277C" w:rsidRDefault="00EF277C" w:rsidP="00EF277C">
      <w:pPr>
        <w:numPr>
          <w:ilvl w:val="0"/>
          <w:numId w:val="20"/>
        </w:numPr>
        <w:jc w:val="both"/>
        <w:rPr>
          <w:sz w:val="22"/>
        </w:rPr>
      </w:pPr>
      <w:r w:rsidRPr="00EF277C">
        <w:rPr>
          <w:sz w:val="22"/>
        </w:rPr>
        <w:t>Commercial Insurance Compliance Auditors or correspondence</w:t>
      </w:r>
    </w:p>
    <w:p w:rsidR="00EF277C" w:rsidRPr="00EF277C" w:rsidRDefault="00EF277C" w:rsidP="00EF277C">
      <w:pPr>
        <w:numPr>
          <w:ilvl w:val="0"/>
          <w:numId w:val="20"/>
        </w:numPr>
        <w:jc w:val="both"/>
        <w:rPr>
          <w:sz w:val="22"/>
        </w:rPr>
      </w:pPr>
      <w:r w:rsidRPr="00EF277C">
        <w:rPr>
          <w:sz w:val="22"/>
        </w:rPr>
        <w:t>Any and all regulatory agencies requesting billing information.</w:t>
      </w:r>
    </w:p>
    <w:p w:rsidR="00EF277C" w:rsidRPr="00EF277C" w:rsidRDefault="00EF277C" w:rsidP="00EF277C">
      <w:pPr>
        <w:ind w:left="720"/>
        <w:jc w:val="both"/>
        <w:rPr>
          <w:sz w:val="12"/>
          <w:szCs w:val="14"/>
        </w:rPr>
      </w:pPr>
    </w:p>
    <w:p w:rsidR="00EF277C" w:rsidRPr="00EF277C" w:rsidRDefault="00EF277C" w:rsidP="00EF277C">
      <w:pPr>
        <w:jc w:val="both"/>
        <w:rPr>
          <w:sz w:val="22"/>
        </w:rPr>
      </w:pPr>
      <w:r w:rsidRPr="00EF277C">
        <w:rPr>
          <w:sz w:val="22"/>
        </w:rPr>
        <w:t xml:space="preserve">This procedure </w:t>
      </w:r>
      <w:r w:rsidRPr="00956457">
        <w:rPr>
          <w:b/>
          <w:sz w:val="22"/>
        </w:rPr>
        <w:t>does not</w:t>
      </w:r>
      <w:r w:rsidRPr="00EF277C">
        <w:rPr>
          <w:sz w:val="22"/>
        </w:rPr>
        <w:t xml:space="preserve"> pertain to requests for copies of billing records by insurance companies, patient/family/legal guardians, or in response to a subpoena deuces tecum, all of which </w:t>
      </w:r>
      <w:r w:rsidR="000B38FC">
        <w:rPr>
          <w:sz w:val="22"/>
        </w:rPr>
        <w:t>the law</w:t>
      </w:r>
      <w:r w:rsidRPr="00EF277C">
        <w:rPr>
          <w:sz w:val="22"/>
        </w:rPr>
        <w:t xml:space="preserve"> allow</w:t>
      </w:r>
      <w:r w:rsidR="000B38FC">
        <w:rPr>
          <w:sz w:val="22"/>
        </w:rPr>
        <w:t>s</w:t>
      </w:r>
      <w:r w:rsidRPr="00EF277C">
        <w:rPr>
          <w:sz w:val="22"/>
        </w:rPr>
        <w:t xml:space="preserve"> within t</w:t>
      </w:r>
      <w:r w:rsidR="00956457">
        <w:rPr>
          <w:sz w:val="22"/>
        </w:rPr>
        <w:t xml:space="preserve">he normal course of business.  These standard and routine requests for professional </w:t>
      </w:r>
      <w:r w:rsidR="00B85DC0">
        <w:rPr>
          <w:sz w:val="22"/>
        </w:rPr>
        <w:t>bills</w:t>
      </w:r>
      <w:r w:rsidR="00956457">
        <w:rPr>
          <w:sz w:val="22"/>
        </w:rPr>
        <w:t xml:space="preserve"> should go to the PMG Revenue Cycle Director, who is the custodian of billing records. However, if</w:t>
      </w:r>
      <w:r w:rsidRPr="00EF277C">
        <w:rPr>
          <w:sz w:val="22"/>
        </w:rPr>
        <w:t xml:space="preserve"> the recipient of the request for records or billings is uncertain, </w:t>
      </w:r>
      <w:r w:rsidR="00956457">
        <w:rPr>
          <w:sz w:val="22"/>
        </w:rPr>
        <w:t>forward</w:t>
      </w:r>
      <w:r w:rsidR="000B38FC">
        <w:rPr>
          <w:sz w:val="22"/>
        </w:rPr>
        <w:t xml:space="preserve"> the request</w:t>
      </w:r>
      <w:r w:rsidR="00956457">
        <w:rPr>
          <w:sz w:val="22"/>
        </w:rPr>
        <w:t xml:space="preserve"> to the Compliance, Risk Management and Legal Departments for guidance.</w:t>
      </w:r>
      <w:r w:rsidRPr="00EF277C">
        <w:rPr>
          <w:sz w:val="22"/>
        </w:rPr>
        <w:t xml:space="preserve"> </w:t>
      </w:r>
    </w:p>
    <w:p w:rsidR="00EF277C" w:rsidRPr="00EF277C" w:rsidRDefault="00EF277C" w:rsidP="00EF277C">
      <w:pPr>
        <w:jc w:val="both"/>
        <w:rPr>
          <w:sz w:val="22"/>
        </w:rPr>
      </w:pPr>
    </w:p>
    <w:p w:rsidR="00EF277C" w:rsidRPr="00EF277C" w:rsidRDefault="00EF277C" w:rsidP="00EF277C">
      <w:pPr>
        <w:jc w:val="both"/>
        <w:rPr>
          <w:sz w:val="22"/>
        </w:rPr>
      </w:pPr>
      <w:r w:rsidRPr="00EF277C">
        <w:rPr>
          <w:sz w:val="22"/>
        </w:rPr>
        <w:t xml:space="preserve">The </w:t>
      </w:r>
      <w:r w:rsidR="00956457">
        <w:rPr>
          <w:sz w:val="22"/>
        </w:rPr>
        <w:t>appropriate Department</w:t>
      </w:r>
      <w:r w:rsidRPr="00EF277C">
        <w:rPr>
          <w:sz w:val="22"/>
        </w:rPr>
        <w:t xml:space="preserve"> will review the request and provide further instructions for the copying, reproduction, or printing of materials to service the request if warranted.  If necessary, </w:t>
      </w:r>
      <w:r w:rsidR="000B38FC">
        <w:rPr>
          <w:sz w:val="22"/>
        </w:rPr>
        <w:t xml:space="preserve">the Department will also give </w:t>
      </w:r>
      <w:r w:rsidRPr="00EF277C">
        <w:rPr>
          <w:sz w:val="22"/>
        </w:rPr>
        <w:t xml:space="preserve">distribution instructions.    </w:t>
      </w:r>
    </w:p>
    <w:p w:rsidR="00EF277C" w:rsidRPr="00EF277C" w:rsidRDefault="00EF277C" w:rsidP="00EF277C">
      <w:pPr>
        <w:jc w:val="both"/>
        <w:rPr>
          <w:sz w:val="22"/>
        </w:rPr>
      </w:pPr>
    </w:p>
    <w:p w:rsidR="00EF277C" w:rsidRPr="00EF277C" w:rsidRDefault="00EF277C" w:rsidP="00EF277C">
      <w:pPr>
        <w:jc w:val="both"/>
        <w:rPr>
          <w:sz w:val="22"/>
        </w:rPr>
      </w:pPr>
      <w:r w:rsidRPr="00EF277C">
        <w:rPr>
          <w:sz w:val="22"/>
        </w:rPr>
        <w:t>At no time should a physician, provider, or employee of CHLAMG or PMG release copies or originals of billing in</w:t>
      </w:r>
      <w:r w:rsidR="00956457">
        <w:rPr>
          <w:sz w:val="22"/>
        </w:rPr>
        <w:t xml:space="preserve">formation to an external </w:t>
      </w:r>
      <w:r w:rsidR="00B85DC0">
        <w:rPr>
          <w:sz w:val="22"/>
        </w:rPr>
        <w:t>regulatory</w:t>
      </w:r>
      <w:r w:rsidR="00956457">
        <w:rPr>
          <w:sz w:val="22"/>
        </w:rPr>
        <w:t xml:space="preserve"> agency </w:t>
      </w:r>
      <w:r w:rsidR="00B85DC0">
        <w:rPr>
          <w:sz w:val="22"/>
        </w:rPr>
        <w:t xml:space="preserve">or commercial insurance compliance auditor </w:t>
      </w:r>
      <w:r w:rsidRPr="00EF277C">
        <w:rPr>
          <w:sz w:val="22"/>
        </w:rPr>
        <w:t xml:space="preserve">without consent of the Compliance Department. </w:t>
      </w:r>
      <w:r w:rsidR="000B38FC">
        <w:rPr>
          <w:sz w:val="22"/>
        </w:rPr>
        <w:t>Staff may reach the</w:t>
      </w:r>
      <w:r w:rsidR="00956457">
        <w:rPr>
          <w:sz w:val="22"/>
        </w:rPr>
        <w:t xml:space="preserve"> Department at (323) 361-2587 or </w:t>
      </w:r>
      <w:hyperlink r:id="rId7" w:history="1">
        <w:r w:rsidR="00956457" w:rsidRPr="00856CF8">
          <w:rPr>
            <w:rStyle w:val="Hyperlink"/>
            <w:sz w:val="22"/>
          </w:rPr>
          <w:t>CHLAMGCompliance@chla.usc.edu</w:t>
        </w:r>
      </w:hyperlink>
      <w:r w:rsidR="00956457">
        <w:rPr>
          <w:sz w:val="22"/>
        </w:rPr>
        <w:t xml:space="preserve">. </w:t>
      </w:r>
    </w:p>
    <w:p w:rsidR="00207D17" w:rsidRPr="00006D84" w:rsidRDefault="00207D17" w:rsidP="00D75F7A">
      <w:pPr>
        <w:shd w:val="clear" w:color="auto" w:fill="FFFFFF" w:themeFill="background1"/>
        <w:jc w:val="both"/>
        <w:rPr>
          <w:rFonts w:asciiTheme="majorHAnsi" w:hAnsiTheme="majorHAnsi" w:cstheme="majorHAnsi"/>
          <w:sz w:val="22"/>
          <w:szCs w:val="22"/>
        </w:rPr>
      </w:pPr>
    </w:p>
    <w:sectPr w:rsidR="00207D17" w:rsidRPr="00006D84" w:rsidSect="00D75F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7A" w:rsidRDefault="00FC3E7A">
      <w:r>
        <w:separator/>
      </w:r>
    </w:p>
  </w:endnote>
  <w:endnote w:type="continuationSeparator" w:id="0">
    <w:p w:rsidR="00FC3E7A" w:rsidRDefault="00FC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55" w:rsidRPr="008C4B55" w:rsidRDefault="008C4B55" w:rsidP="00F01DFE">
    <w:pPr>
      <w:pStyle w:val="Footer"/>
      <w:jc w:val="right"/>
      <w:rPr>
        <w:sz w:val="20"/>
      </w:rPr>
    </w:pPr>
    <w:r w:rsidRPr="008C4B55">
      <w:rPr>
        <w:sz w:val="20"/>
      </w:rPr>
      <w:t xml:space="preserve">Page </w:t>
    </w:r>
    <w:r w:rsidRPr="008C4B55">
      <w:rPr>
        <w:sz w:val="20"/>
      </w:rPr>
      <w:fldChar w:fldCharType="begin"/>
    </w:r>
    <w:r w:rsidRPr="008C4B55">
      <w:rPr>
        <w:sz w:val="20"/>
      </w:rPr>
      <w:instrText xml:space="preserve"> PAGE   \* MERGEFORMAT </w:instrText>
    </w:r>
    <w:r w:rsidRPr="008C4B55">
      <w:rPr>
        <w:sz w:val="20"/>
      </w:rPr>
      <w:fldChar w:fldCharType="separate"/>
    </w:r>
    <w:r w:rsidR="00B81D12">
      <w:rPr>
        <w:noProof/>
        <w:sz w:val="20"/>
      </w:rPr>
      <w:t>1</w:t>
    </w:r>
    <w:r w:rsidRPr="008C4B55">
      <w:rPr>
        <w:sz w:val="20"/>
      </w:rPr>
      <w:fldChar w:fldCharType="end"/>
    </w:r>
    <w:r w:rsidRPr="008C4B55">
      <w:rPr>
        <w:sz w:val="20"/>
      </w:rPr>
      <w:t xml:space="preserve"> of </w:t>
    </w:r>
    <w:r w:rsidRPr="008C4B55">
      <w:rPr>
        <w:sz w:val="20"/>
      </w:rPr>
      <w:fldChar w:fldCharType="begin"/>
    </w:r>
    <w:r w:rsidRPr="008C4B55">
      <w:rPr>
        <w:sz w:val="20"/>
      </w:rPr>
      <w:instrText xml:space="preserve"> NUMPAGES  \* Arabic  \* MERGEFORMAT </w:instrText>
    </w:r>
    <w:r w:rsidRPr="008C4B55">
      <w:rPr>
        <w:sz w:val="20"/>
      </w:rPr>
      <w:fldChar w:fldCharType="separate"/>
    </w:r>
    <w:r w:rsidR="00B81D12">
      <w:rPr>
        <w:noProof/>
        <w:sz w:val="20"/>
      </w:rPr>
      <w:t>1</w:t>
    </w:r>
    <w:r w:rsidRPr="008C4B5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7A" w:rsidRDefault="00FC3E7A">
      <w:r>
        <w:separator/>
      </w:r>
    </w:p>
  </w:footnote>
  <w:footnote w:type="continuationSeparator" w:id="0">
    <w:p w:rsidR="00FC3E7A" w:rsidRDefault="00FC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A163B3" w:rsidP="00BE2510">
    <w:pPr>
      <w:pStyle w:val="Header"/>
      <w:ind w:left="2880" w:firstLine="3600"/>
      <w:rPr>
        <w:rFonts w:ascii="Garamond" w:hAnsi="Garamond"/>
        <w:sz w:val="28"/>
        <w:szCs w:val="28"/>
      </w:rPr>
    </w:pPr>
    <w:r>
      <w:rPr>
        <w:rFonts w:ascii="Garamond" w:hAnsi="Garamond"/>
        <w:noProof/>
        <w:sz w:val="28"/>
        <w:szCs w:val="28"/>
      </w:rPr>
      <w:drawing>
        <wp:anchor distT="0" distB="0" distL="114300" distR="114300" simplePos="0" relativeHeight="251657728" behindDoc="0" locked="0" layoutInCell="1" allowOverlap="1" wp14:anchorId="6D5EF1FA" wp14:editId="6E75E899">
          <wp:simplePos x="0" y="0"/>
          <wp:positionH relativeFrom="column">
            <wp:posOffset>2294255</wp:posOffset>
          </wp:positionH>
          <wp:positionV relativeFrom="paragraph">
            <wp:posOffset>-309245</wp:posOffset>
          </wp:positionV>
          <wp:extent cx="2164080" cy="573405"/>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5CB" w:rsidRPr="000E0E4A" w:rsidRDefault="00B335CB" w:rsidP="00B335CB">
    <w:pPr>
      <w:jc w:val="center"/>
      <w:rPr>
        <w:rFonts w:asciiTheme="majorHAnsi" w:hAnsiTheme="majorHAnsi"/>
        <w:b/>
        <w:sz w:val="28"/>
        <w:szCs w:val="28"/>
        <w:u w:val="single"/>
      </w:rPr>
    </w:pPr>
  </w:p>
  <w:p w:rsidR="00382063" w:rsidRPr="00DC4602" w:rsidRDefault="00FB1278" w:rsidP="00B335CB">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w:t>
    </w:r>
    <w:r w:rsidR="00A135A4" w:rsidRPr="00DC4602">
      <w:rPr>
        <w:rFonts w:asciiTheme="minorHAnsi" w:hAnsiTheme="minorHAnsi" w:cstheme="minorHAnsi"/>
        <w:b/>
        <w:smallCaps/>
        <w:sz w:val="28"/>
        <w:szCs w:val="28"/>
        <w:u w:val="single"/>
      </w:rPr>
      <w:t>’</w:t>
    </w:r>
    <w:r w:rsidRPr="00DC4602">
      <w:rPr>
        <w:rFonts w:asciiTheme="minorHAnsi" w:hAnsiTheme="minorHAnsi" w:cstheme="minorHAnsi"/>
        <w:b/>
        <w:smallCaps/>
        <w:sz w:val="28"/>
        <w:szCs w:val="28"/>
        <w:u w:val="single"/>
      </w:rPr>
      <w:t>s Hospital Los Angeles Medical Group</w:t>
    </w:r>
  </w:p>
  <w:p w:rsidR="00382063" w:rsidRPr="00DC4602" w:rsidRDefault="00382063" w:rsidP="00B335CB">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382063" w:rsidRDefault="00382063" w:rsidP="00BE2510">
    <w:pPr>
      <w:pStyle w:val="Header"/>
      <w:ind w:left="2880" w:firstLine="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26296"/>
    <w:multiLevelType w:val="hybridMultilevel"/>
    <w:tmpl w:val="D3A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34505"/>
    <w:multiLevelType w:val="hybridMultilevel"/>
    <w:tmpl w:val="86862F44"/>
    <w:lvl w:ilvl="0" w:tplc="BCD48B4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704F07"/>
    <w:multiLevelType w:val="hybridMultilevel"/>
    <w:tmpl w:val="00A299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7"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D33FD9"/>
    <w:multiLevelType w:val="hybridMultilevel"/>
    <w:tmpl w:val="3432AC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41F5B"/>
    <w:multiLevelType w:val="hybridMultilevel"/>
    <w:tmpl w:val="37BA3C32"/>
    <w:lvl w:ilvl="0" w:tplc="A14EC5D6">
      <w:start w:val="1"/>
      <w:numFmt w:val="decimal"/>
      <w:lvlText w:val="%1."/>
      <w:lvlJc w:val="left"/>
      <w:pPr>
        <w:ind w:left="475" w:hanging="360"/>
      </w:pPr>
      <w:rPr>
        <w:rFonts w:hint="default"/>
        <w:color w:val="00000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FB45E7"/>
    <w:multiLevelType w:val="hybridMultilevel"/>
    <w:tmpl w:val="FB385C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17"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576BB"/>
    <w:multiLevelType w:val="hybridMultilevel"/>
    <w:tmpl w:val="7F50C262"/>
    <w:lvl w:ilvl="0" w:tplc="A14EC5D6">
      <w:start w:val="1"/>
      <w:numFmt w:val="decimal"/>
      <w:lvlText w:val="%1."/>
      <w:lvlJc w:val="left"/>
      <w:pPr>
        <w:ind w:left="590" w:hanging="360"/>
      </w:pPr>
      <w:rPr>
        <w:rFonts w:hint="default"/>
        <w:color w:val="0000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num w:numId="1">
    <w:abstractNumId w:val="14"/>
  </w:num>
  <w:num w:numId="2">
    <w:abstractNumId w:val="5"/>
  </w:num>
  <w:num w:numId="3">
    <w:abstractNumId w:val="0"/>
  </w:num>
  <w:num w:numId="4">
    <w:abstractNumId w:val="9"/>
  </w:num>
  <w:num w:numId="5">
    <w:abstractNumId w:val="7"/>
  </w:num>
  <w:num w:numId="6">
    <w:abstractNumId w:val="16"/>
  </w:num>
  <w:num w:numId="7">
    <w:abstractNumId w:val="11"/>
  </w:num>
  <w:num w:numId="8">
    <w:abstractNumId w:val="8"/>
  </w:num>
  <w:num w:numId="9">
    <w:abstractNumId w:val="17"/>
  </w:num>
  <w:num w:numId="10">
    <w:abstractNumId w:val="1"/>
  </w:num>
  <w:num w:numId="11">
    <w:abstractNumId w:val="10"/>
  </w:num>
  <w:num w:numId="12">
    <w:abstractNumId w:val="6"/>
  </w:num>
  <w:num w:numId="13">
    <w:abstractNumId w:val="19"/>
  </w:num>
  <w:num w:numId="14">
    <w:abstractNumId w:val="15"/>
  </w:num>
  <w:num w:numId="15">
    <w:abstractNumId w:val="13"/>
  </w:num>
  <w:num w:numId="16">
    <w:abstractNumId w:val="18"/>
  </w:num>
  <w:num w:numId="17">
    <w:abstractNumId w:val="12"/>
  </w:num>
  <w:num w:numId="18">
    <w:abstractNumId w:val="3"/>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5"/>
    <w:rsid w:val="00006D84"/>
    <w:rsid w:val="0006706D"/>
    <w:rsid w:val="00074CEA"/>
    <w:rsid w:val="0008139F"/>
    <w:rsid w:val="000B38FC"/>
    <w:rsid w:val="000C2324"/>
    <w:rsid w:val="000C38A6"/>
    <w:rsid w:val="000E0E4A"/>
    <w:rsid w:val="00136DB7"/>
    <w:rsid w:val="00143148"/>
    <w:rsid w:val="00207D17"/>
    <w:rsid w:val="00222EAB"/>
    <w:rsid w:val="0025523D"/>
    <w:rsid w:val="002C2DE5"/>
    <w:rsid w:val="002F5077"/>
    <w:rsid w:val="002F5B67"/>
    <w:rsid w:val="00304FC9"/>
    <w:rsid w:val="00382063"/>
    <w:rsid w:val="0038419F"/>
    <w:rsid w:val="003D4249"/>
    <w:rsid w:val="004B4047"/>
    <w:rsid w:val="004C350E"/>
    <w:rsid w:val="004E4743"/>
    <w:rsid w:val="004E4C47"/>
    <w:rsid w:val="005848BE"/>
    <w:rsid w:val="00591158"/>
    <w:rsid w:val="006326FA"/>
    <w:rsid w:val="00633083"/>
    <w:rsid w:val="006A23D5"/>
    <w:rsid w:val="006B253A"/>
    <w:rsid w:val="00726B44"/>
    <w:rsid w:val="00747DB5"/>
    <w:rsid w:val="008617BA"/>
    <w:rsid w:val="008C4B55"/>
    <w:rsid w:val="00956457"/>
    <w:rsid w:val="00987EE0"/>
    <w:rsid w:val="00A135A4"/>
    <w:rsid w:val="00A163B3"/>
    <w:rsid w:val="00AA4309"/>
    <w:rsid w:val="00AF7406"/>
    <w:rsid w:val="00B3065E"/>
    <w:rsid w:val="00B335CB"/>
    <w:rsid w:val="00B37DFF"/>
    <w:rsid w:val="00B40D08"/>
    <w:rsid w:val="00B81D12"/>
    <w:rsid w:val="00B85DC0"/>
    <w:rsid w:val="00BB74EE"/>
    <w:rsid w:val="00BE2510"/>
    <w:rsid w:val="00C12F38"/>
    <w:rsid w:val="00C549FA"/>
    <w:rsid w:val="00CA4E43"/>
    <w:rsid w:val="00CB3643"/>
    <w:rsid w:val="00CF0B6E"/>
    <w:rsid w:val="00CF7D63"/>
    <w:rsid w:val="00D02892"/>
    <w:rsid w:val="00D479BC"/>
    <w:rsid w:val="00D75F7A"/>
    <w:rsid w:val="00D76EC2"/>
    <w:rsid w:val="00DA7061"/>
    <w:rsid w:val="00DC4206"/>
    <w:rsid w:val="00DC4602"/>
    <w:rsid w:val="00EF277C"/>
    <w:rsid w:val="00F01BBE"/>
    <w:rsid w:val="00F01DFE"/>
    <w:rsid w:val="00F85399"/>
    <w:rsid w:val="00F943B2"/>
    <w:rsid w:val="00FB1278"/>
    <w:rsid w:val="00FB7DAC"/>
    <w:rsid w:val="00FC2145"/>
    <w:rsid w:val="00FC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4FE82B-5388-46FD-9376-072931E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FF"/>
    <w:pPr>
      <w:ind w:left="720"/>
      <w:contextualSpacing/>
    </w:pPr>
  </w:style>
  <w:style w:type="paragraph" w:styleId="NormalWeb">
    <w:name w:val="Normal (Web)"/>
    <w:basedOn w:val="Normal"/>
    <w:uiPriority w:val="99"/>
    <w:rsid w:val="000C38A6"/>
    <w:pPr>
      <w:spacing w:before="100" w:beforeAutospacing="1" w:after="100" w:afterAutospacing="1"/>
    </w:pPr>
  </w:style>
  <w:style w:type="character" w:styleId="Hyperlink">
    <w:name w:val="Hyperlink"/>
    <w:basedOn w:val="DefaultParagraphFont"/>
    <w:rsid w:val="00EF2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LAMGCompliance@chla.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Thomason, Masi</dc:creator>
  <cp:lastModifiedBy>Troklus, Jeffrey</cp:lastModifiedBy>
  <cp:revision>5</cp:revision>
  <cp:lastPrinted>2017-03-08T19:19:00Z</cp:lastPrinted>
  <dcterms:created xsi:type="dcterms:W3CDTF">2018-05-07T16:12:00Z</dcterms:created>
  <dcterms:modified xsi:type="dcterms:W3CDTF">2018-09-26T17:44:00Z</dcterms:modified>
</cp:coreProperties>
</file>