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9614"/>
      </w:tblGrid>
      <w:tr w:rsidR="000E0E4A" w:rsidRPr="00DC4602" w:rsidTr="00DC4602">
        <w:tc>
          <w:tcPr>
            <w:tcW w:w="1188" w:type="dxa"/>
            <w:tcBorders>
              <w:bottom w:val="dotted" w:sz="4" w:space="0" w:color="BFBFBF" w:themeColor="background1" w:themeShade="BF"/>
              <w:right w:val="dotted" w:sz="4" w:space="0" w:color="BFBFBF" w:themeColor="background1" w:themeShade="BF"/>
            </w:tcBorders>
          </w:tcPr>
          <w:p w:rsidR="000E0E4A" w:rsidRPr="00DC4602" w:rsidRDefault="000E0E4A" w:rsidP="00F633B8">
            <w:pPr>
              <w:rPr>
                <w:rFonts w:asciiTheme="minorHAnsi" w:hAnsiTheme="minorHAnsi" w:cstheme="minorHAnsi"/>
                <w:b/>
                <w:smallCaps/>
                <w:sz w:val="22"/>
              </w:rPr>
            </w:pPr>
            <w:r w:rsidRPr="00DC4602">
              <w:rPr>
                <w:rFonts w:asciiTheme="minorHAnsi" w:hAnsiTheme="minorHAnsi" w:cstheme="minorHAnsi"/>
                <w:b/>
                <w:smallCaps/>
                <w:sz w:val="22"/>
              </w:rPr>
              <w:t>Policy</w:t>
            </w:r>
          </w:p>
        </w:tc>
        <w:tc>
          <w:tcPr>
            <w:tcW w:w="9720" w:type="dxa"/>
            <w:tcBorders>
              <w:left w:val="dotted" w:sz="4" w:space="0" w:color="BFBFBF" w:themeColor="background1" w:themeShade="BF"/>
              <w:bottom w:val="dotted" w:sz="4" w:space="0" w:color="BFBFBF" w:themeColor="background1" w:themeShade="BF"/>
            </w:tcBorders>
          </w:tcPr>
          <w:p w:rsidR="000E0E4A" w:rsidRPr="00C055AA" w:rsidRDefault="00C055AA" w:rsidP="00F633B8">
            <w:pPr>
              <w:rPr>
                <w:rFonts w:asciiTheme="majorHAnsi" w:hAnsiTheme="majorHAnsi" w:cstheme="majorHAnsi"/>
              </w:rPr>
            </w:pPr>
            <w:r>
              <w:rPr>
                <w:rFonts w:asciiTheme="majorHAnsi" w:hAnsiTheme="majorHAnsi" w:cstheme="majorHAnsi"/>
              </w:rPr>
              <w:t>Compliance Audit Protocol</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F633B8">
            <w:pPr>
              <w:rPr>
                <w:rFonts w:asciiTheme="minorHAnsi" w:hAnsiTheme="minorHAnsi" w:cstheme="minorHAnsi"/>
                <w:b/>
                <w:smallCaps/>
                <w:sz w:val="22"/>
              </w:rPr>
            </w:pPr>
            <w:r w:rsidRPr="00DC4602">
              <w:rPr>
                <w:rFonts w:asciiTheme="minorHAnsi" w:hAnsiTheme="minorHAnsi" w:cstheme="minorHAnsi"/>
                <w:b/>
                <w:smallCaps/>
                <w:sz w:val="22"/>
              </w:rPr>
              <w:t>Sign Off</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C055AA" w:rsidRDefault="00C055AA" w:rsidP="00F633B8">
            <w:pPr>
              <w:rPr>
                <w:rFonts w:asciiTheme="majorHAnsi" w:hAnsiTheme="majorHAnsi" w:cstheme="majorHAnsi"/>
              </w:rPr>
            </w:pPr>
            <w:r w:rsidRPr="00C055AA">
              <w:rPr>
                <w:rFonts w:asciiTheme="majorHAnsi" w:hAnsiTheme="majorHAnsi" w:cstheme="majorHAnsi"/>
              </w:rPr>
              <w:t xml:space="preserve">Robert Adler, M.D., </w:t>
            </w:r>
            <w:r w:rsidRPr="00C055AA">
              <w:rPr>
                <w:rFonts w:asciiTheme="majorHAnsi" w:hAnsiTheme="majorHAnsi" w:cstheme="majorHAnsi"/>
              </w:rPr>
              <w:tab/>
              <w:t>CHLAMG Compliance Officer</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F633B8">
            <w:pPr>
              <w:rPr>
                <w:rFonts w:asciiTheme="minorHAnsi" w:hAnsiTheme="minorHAnsi" w:cstheme="minorHAnsi"/>
                <w:b/>
                <w:smallCaps/>
                <w:sz w:val="22"/>
              </w:rPr>
            </w:pPr>
            <w:r w:rsidRPr="00DC4602">
              <w:rPr>
                <w:rFonts w:asciiTheme="minorHAnsi" w:hAnsiTheme="minorHAnsi" w:cstheme="minorHAnsi"/>
                <w:b/>
                <w:smallCaps/>
                <w:sz w:val="22"/>
              </w:rPr>
              <w:t>Issued</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C055AA" w:rsidRDefault="00C055AA" w:rsidP="00F633B8">
            <w:pPr>
              <w:rPr>
                <w:rFonts w:asciiTheme="majorHAnsi" w:hAnsiTheme="majorHAnsi" w:cstheme="majorHAnsi"/>
              </w:rPr>
            </w:pPr>
            <w:r w:rsidRPr="00C055AA">
              <w:rPr>
                <w:rFonts w:asciiTheme="majorHAnsi" w:hAnsiTheme="majorHAnsi" w:cstheme="majorHAnsi"/>
              </w:rPr>
              <w:t>February 11, 2009</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F633B8">
            <w:pPr>
              <w:rPr>
                <w:rFonts w:asciiTheme="minorHAnsi" w:hAnsiTheme="minorHAnsi" w:cstheme="minorHAnsi"/>
                <w:b/>
                <w:smallCaps/>
                <w:sz w:val="22"/>
              </w:rPr>
            </w:pPr>
            <w:r w:rsidRPr="00DC4602">
              <w:rPr>
                <w:rFonts w:asciiTheme="minorHAnsi" w:hAnsiTheme="minorHAnsi" w:cstheme="minorHAnsi"/>
                <w:b/>
                <w:smallCaps/>
                <w:sz w:val="22"/>
              </w:rPr>
              <w:t>Revised</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C055AA" w:rsidRDefault="00593801" w:rsidP="00E9191B">
            <w:pPr>
              <w:rPr>
                <w:rFonts w:asciiTheme="majorHAnsi" w:hAnsiTheme="majorHAnsi" w:cstheme="majorHAnsi"/>
              </w:rPr>
            </w:pPr>
            <w:r>
              <w:rPr>
                <w:rFonts w:asciiTheme="majorHAnsi" w:hAnsiTheme="majorHAnsi" w:cstheme="majorHAnsi"/>
              </w:rPr>
              <w:t>September 18</w:t>
            </w:r>
            <w:r w:rsidR="00E9191B">
              <w:rPr>
                <w:rFonts w:asciiTheme="majorHAnsi" w:hAnsiTheme="majorHAnsi" w:cstheme="majorHAnsi"/>
              </w:rPr>
              <w:t>, 2018</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F633B8">
            <w:pPr>
              <w:rPr>
                <w:rFonts w:asciiTheme="minorHAnsi" w:hAnsiTheme="minorHAnsi" w:cstheme="minorHAnsi"/>
                <w:b/>
                <w:smallCaps/>
                <w:sz w:val="22"/>
              </w:rPr>
            </w:pPr>
            <w:r w:rsidRPr="00DC4602">
              <w:rPr>
                <w:rFonts w:asciiTheme="minorHAnsi" w:hAnsiTheme="minorHAnsi" w:cstheme="minorHAnsi"/>
                <w:b/>
                <w:smallCaps/>
                <w:sz w:val="22"/>
              </w:rPr>
              <w:t>Number</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C055AA" w:rsidRDefault="00FC4F05" w:rsidP="00F633B8">
            <w:pPr>
              <w:rPr>
                <w:rFonts w:asciiTheme="majorHAnsi" w:hAnsiTheme="majorHAnsi" w:cstheme="majorHAnsi"/>
              </w:rPr>
            </w:pPr>
            <w:r>
              <w:rPr>
                <w:rFonts w:asciiTheme="majorHAnsi" w:hAnsiTheme="majorHAnsi" w:cstheme="majorHAnsi"/>
              </w:rPr>
              <w:t>CHLAMG 15-0005</w:t>
            </w:r>
          </w:p>
        </w:tc>
      </w:tr>
    </w:tbl>
    <w:p w:rsidR="00B335CB" w:rsidRPr="00DC4602" w:rsidRDefault="00B335CB" w:rsidP="00F633B8">
      <w:pPr>
        <w:jc w:val="both"/>
        <w:rPr>
          <w:rFonts w:asciiTheme="majorHAnsi" w:hAnsiTheme="majorHAnsi"/>
          <w:b/>
        </w:rPr>
      </w:pPr>
    </w:p>
    <w:p w:rsidR="00D75F7A" w:rsidRPr="00DC4602" w:rsidRDefault="00D75F7A" w:rsidP="00F633B8">
      <w:pPr>
        <w:shd w:val="clear" w:color="auto" w:fill="F2F2F2" w:themeFill="background1" w:themeFillShade="F2"/>
        <w:jc w:val="both"/>
        <w:rPr>
          <w:rFonts w:asciiTheme="minorHAnsi" w:hAnsiTheme="minorHAnsi" w:cstheme="minorHAnsi"/>
          <w:b/>
          <w:smallCaps/>
          <w:sz w:val="28"/>
        </w:rPr>
      </w:pPr>
      <w:r w:rsidRPr="00DC4602">
        <w:rPr>
          <w:rFonts w:asciiTheme="minorHAnsi" w:hAnsiTheme="minorHAnsi" w:cstheme="minorHAnsi"/>
          <w:b/>
          <w:smallCaps/>
          <w:sz w:val="28"/>
        </w:rPr>
        <w:t>Policy</w:t>
      </w:r>
    </w:p>
    <w:p w:rsidR="00D75F7A" w:rsidRPr="00F633B8" w:rsidRDefault="00D75F7A" w:rsidP="00F633B8">
      <w:pPr>
        <w:jc w:val="both"/>
        <w:rPr>
          <w:rFonts w:asciiTheme="majorHAnsi" w:hAnsiTheme="majorHAnsi"/>
          <w:b/>
          <w:smallCaps/>
          <w:sz w:val="22"/>
          <w:szCs w:val="22"/>
        </w:rPr>
      </w:pPr>
    </w:p>
    <w:p w:rsidR="00D75F7A" w:rsidRPr="00F633B8" w:rsidRDefault="002A73ED" w:rsidP="00F633B8">
      <w:pPr>
        <w:pStyle w:val="Default"/>
        <w:rPr>
          <w:rFonts w:asciiTheme="majorHAnsi" w:hAnsiTheme="majorHAnsi"/>
          <w:sz w:val="22"/>
          <w:szCs w:val="22"/>
        </w:rPr>
      </w:pPr>
      <w:r w:rsidRPr="00F633B8">
        <w:rPr>
          <w:rFonts w:asciiTheme="majorHAnsi" w:hAnsiTheme="majorHAnsi"/>
          <w:sz w:val="22"/>
          <w:szCs w:val="22"/>
        </w:rPr>
        <w:t>It is CHLAMG’s policy to review documentation, coding, and billing by all CHLAMG billing providers</w:t>
      </w:r>
      <w:r w:rsidR="008015EA">
        <w:rPr>
          <w:rFonts w:asciiTheme="majorHAnsi" w:hAnsiTheme="majorHAnsi"/>
          <w:sz w:val="22"/>
          <w:szCs w:val="22"/>
        </w:rPr>
        <w:t>, the timeframe for these audits are based on the providers past audit scores, see table on page two of this policy for the timing of those interval audits</w:t>
      </w:r>
      <w:r w:rsidRPr="00F633B8">
        <w:rPr>
          <w:rFonts w:asciiTheme="majorHAnsi" w:hAnsiTheme="majorHAnsi"/>
          <w:sz w:val="22"/>
          <w:szCs w:val="22"/>
        </w:rPr>
        <w:t xml:space="preserve">.  The purpose of the audit is to ensure that billing providers submit accurate claims for services that are medically necessary and </w:t>
      </w:r>
      <w:r w:rsidR="00702696">
        <w:rPr>
          <w:rFonts w:asciiTheme="majorHAnsi" w:hAnsiTheme="majorHAnsi"/>
          <w:sz w:val="22"/>
          <w:szCs w:val="22"/>
        </w:rPr>
        <w:t>medical record documentation provides support for those services</w:t>
      </w:r>
      <w:r w:rsidRPr="00F633B8">
        <w:rPr>
          <w:rFonts w:asciiTheme="majorHAnsi" w:hAnsiTheme="majorHAnsi"/>
          <w:sz w:val="22"/>
          <w:szCs w:val="22"/>
        </w:rPr>
        <w:t xml:space="preserve">.  Compliance </w:t>
      </w:r>
      <w:r w:rsidR="00055B8A">
        <w:rPr>
          <w:rFonts w:asciiTheme="majorHAnsi" w:hAnsiTheme="majorHAnsi"/>
          <w:sz w:val="22"/>
          <w:szCs w:val="22"/>
        </w:rPr>
        <w:t xml:space="preserve">will audit </w:t>
      </w:r>
      <w:r w:rsidRPr="00F633B8">
        <w:rPr>
          <w:rFonts w:asciiTheme="majorHAnsi" w:hAnsiTheme="majorHAnsi"/>
          <w:sz w:val="22"/>
          <w:szCs w:val="22"/>
        </w:rPr>
        <w:t xml:space="preserve">the completeness of documentation, the accuracy of code assignment, and the appropriateness of claims billed to third party </w:t>
      </w:r>
      <w:proofErr w:type="spellStart"/>
      <w:r w:rsidRPr="00F633B8">
        <w:rPr>
          <w:rFonts w:asciiTheme="majorHAnsi" w:hAnsiTheme="majorHAnsi"/>
          <w:sz w:val="22"/>
          <w:szCs w:val="22"/>
        </w:rPr>
        <w:t>payors</w:t>
      </w:r>
      <w:proofErr w:type="spellEnd"/>
      <w:r w:rsidRPr="00F633B8">
        <w:rPr>
          <w:rFonts w:asciiTheme="majorHAnsi" w:hAnsiTheme="majorHAnsi"/>
          <w:sz w:val="22"/>
          <w:szCs w:val="22"/>
        </w:rPr>
        <w:t xml:space="preserve">.  Compliance </w:t>
      </w:r>
      <w:r w:rsidR="001A3CC6">
        <w:rPr>
          <w:rFonts w:asciiTheme="majorHAnsi" w:hAnsiTheme="majorHAnsi"/>
          <w:sz w:val="22"/>
          <w:szCs w:val="22"/>
        </w:rPr>
        <w:t xml:space="preserve">will </w:t>
      </w:r>
      <w:r w:rsidRPr="00F633B8">
        <w:rPr>
          <w:rFonts w:asciiTheme="majorHAnsi" w:hAnsiTheme="majorHAnsi"/>
          <w:sz w:val="22"/>
          <w:szCs w:val="22"/>
        </w:rPr>
        <w:t>communicate back to the providers and forward</w:t>
      </w:r>
      <w:r w:rsidR="001A3CC6">
        <w:rPr>
          <w:rFonts w:asciiTheme="majorHAnsi" w:hAnsiTheme="majorHAnsi"/>
          <w:sz w:val="22"/>
          <w:szCs w:val="22"/>
        </w:rPr>
        <w:t xml:space="preserve"> information about corrective action for billing problems </w:t>
      </w:r>
      <w:r w:rsidRPr="00F633B8">
        <w:rPr>
          <w:rFonts w:asciiTheme="majorHAnsi" w:hAnsiTheme="majorHAnsi"/>
          <w:sz w:val="22"/>
          <w:szCs w:val="22"/>
        </w:rPr>
        <w:t>to PMG for remediation.</w:t>
      </w:r>
    </w:p>
    <w:p w:rsidR="002A73ED" w:rsidRPr="00DC4602" w:rsidRDefault="002A73ED" w:rsidP="00F633B8">
      <w:pPr>
        <w:pStyle w:val="Default"/>
        <w:rPr>
          <w:rFonts w:asciiTheme="majorHAnsi" w:hAnsiTheme="majorHAnsi"/>
        </w:rPr>
      </w:pPr>
    </w:p>
    <w:p w:rsidR="00D75F7A" w:rsidRPr="00DC4602" w:rsidRDefault="00D75F7A" w:rsidP="00F633B8">
      <w:pPr>
        <w:shd w:val="clear" w:color="auto" w:fill="F2F2F2" w:themeFill="background1" w:themeFillShade="F2"/>
        <w:jc w:val="both"/>
        <w:rPr>
          <w:rFonts w:asciiTheme="minorHAnsi" w:hAnsiTheme="minorHAnsi" w:cstheme="minorHAnsi"/>
          <w:b/>
          <w:smallCaps/>
          <w:sz w:val="28"/>
        </w:rPr>
      </w:pPr>
      <w:r w:rsidRPr="00DC4602">
        <w:rPr>
          <w:rFonts w:asciiTheme="minorHAnsi" w:hAnsiTheme="minorHAnsi" w:cstheme="minorHAnsi"/>
          <w:b/>
          <w:smallCaps/>
          <w:sz w:val="28"/>
        </w:rPr>
        <w:t>Procedure</w:t>
      </w:r>
    </w:p>
    <w:p w:rsidR="00D75F7A" w:rsidRPr="00DC4602" w:rsidRDefault="00D75F7A" w:rsidP="00F633B8">
      <w:pPr>
        <w:shd w:val="clear" w:color="auto" w:fill="FFFFFF" w:themeFill="background1"/>
        <w:spacing w:after="120"/>
        <w:jc w:val="both"/>
        <w:rPr>
          <w:rFonts w:asciiTheme="majorHAnsi" w:hAnsiTheme="majorHAnsi"/>
          <w:b/>
          <w:smallCaps/>
        </w:rPr>
      </w:pPr>
    </w:p>
    <w:p w:rsidR="002A73ED" w:rsidRPr="002A73ED" w:rsidRDefault="002A73ED" w:rsidP="00F633B8">
      <w:pPr>
        <w:pStyle w:val="Default"/>
        <w:numPr>
          <w:ilvl w:val="0"/>
          <w:numId w:val="13"/>
        </w:numPr>
        <w:spacing w:after="120"/>
        <w:rPr>
          <w:rFonts w:asciiTheme="majorHAnsi" w:hAnsiTheme="majorHAnsi"/>
          <w:sz w:val="22"/>
        </w:rPr>
      </w:pPr>
      <w:r w:rsidRPr="002A73ED">
        <w:rPr>
          <w:rFonts w:asciiTheme="majorHAnsi" w:hAnsiTheme="majorHAnsi"/>
          <w:sz w:val="22"/>
        </w:rPr>
        <w:t>CASE SELECTION AND REVIEW PROCESS</w:t>
      </w:r>
    </w:p>
    <w:p w:rsidR="002A73ED" w:rsidRPr="002A73ED" w:rsidRDefault="00C67636" w:rsidP="00F633B8">
      <w:pPr>
        <w:pStyle w:val="Default"/>
        <w:numPr>
          <w:ilvl w:val="1"/>
          <w:numId w:val="13"/>
        </w:numPr>
        <w:spacing w:after="120"/>
        <w:rPr>
          <w:rFonts w:asciiTheme="majorHAnsi" w:hAnsiTheme="majorHAnsi"/>
          <w:sz w:val="22"/>
        </w:rPr>
      </w:pPr>
      <w:r>
        <w:rPr>
          <w:rFonts w:asciiTheme="majorHAnsi" w:hAnsiTheme="majorHAnsi"/>
          <w:sz w:val="22"/>
        </w:rPr>
        <w:t>T</w:t>
      </w:r>
      <w:r w:rsidR="002A73ED" w:rsidRPr="002A73ED">
        <w:rPr>
          <w:rFonts w:asciiTheme="majorHAnsi" w:hAnsiTheme="majorHAnsi"/>
          <w:sz w:val="22"/>
        </w:rPr>
        <w:t>he CHLAMG Compliance Department will conduct</w:t>
      </w:r>
      <w:r>
        <w:rPr>
          <w:rFonts w:asciiTheme="majorHAnsi" w:hAnsiTheme="majorHAnsi"/>
          <w:sz w:val="22"/>
        </w:rPr>
        <w:t xml:space="preserve"> the audit</w:t>
      </w:r>
      <w:r w:rsidR="002A73ED" w:rsidRPr="002A73ED">
        <w:rPr>
          <w:rFonts w:asciiTheme="majorHAnsi" w:hAnsiTheme="majorHAnsi"/>
          <w:sz w:val="22"/>
        </w:rPr>
        <w:t xml:space="preserve"> on inpatient and outpatient services</w:t>
      </w:r>
    </w:p>
    <w:p w:rsidR="002A73ED" w:rsidRPr="002A73ED" w:rsidRDefault="00C67636" w:rsidP="00F633B8">
      <w:pPr>
        <w:pStyle w:val="Default"/>
        <w:numPr>
          <w:ilvl w:val="1"/>
          <w:numId w:val="13"/>
        </w:numPr>
        <w:spacing w:after="120"/>
        <w:rPr>
          <w:rFonts w:asciiTheme="majorHAnsi" w:hAnsiTheme="majorHAnsi"/>
          <w:sz w:val="22"/>
        </w:rPr>
      </w:pPr>
      <w:r>
        <w:rPr>
          <w:rFonts w:asciiTheme="majorHAnsi" w:hAnsiTheme="majorHAnsi"/>
          <w:sz w:val="22"/>
        </w:rPr>
        <w:t>Compliance will conduct a</w:t>
      </w:r>
      <w:r w:rsidR="002A73ED" w:rsidRPr="002A73ED">
        <w:rPr>
          <w:rFonts w:asciiTheme="majorHAnsi" w:hAnsiTheme="majorHAnsi"/>
          <w:sz w:val="22"/>
        </w:rPr>
        <w:t>udits on a non-statistically valid sample</w:t>
      </w:r>
    </w:p>
    <w:p w:rsidR="002A73ED" w:rsidRPr="002A73ED" w:rsidRDefault="002A73ED" w:rsidP="00F633B8">
      <w:pPr>
        <w:pStyle w:val="Default"/>
        <w:numPr>
          <w:ilvl w:val="1"/>
          <w:numId w:val="13"/>
        </w:numPr>
        <w:spacing w:after="120"/>
        <w:rPr>
          <w:rFonts w:asciiTheme="majorHAnsi" w:hAnsiTheme="majorHAnsi"/>
          <w:sz w:val="22"/>
        </w:rPr>
      </w:pPr>
      <w:r w:rsidRPr="002A73ED">
        <w:rPr>
          <w:rFonts w:asciiTheme="majorHAnsi" w:hAnsiTheme="majorHAnsi"/>
          <w:sz w:val="22"/>
        </w:rPr>
        <w:t xml:space="preserve">The audit consists of 10 cases per provider, representing high dollar, high volume, and/or or high-risk cases.  </w:t>
      </w:r>
      <w:r w:rsidR="00C67636">
        <w:rPr>
          <w:rFonts w:asciiTheme="majorHAnsi" w:hAnsiTheme="majorHAnsi"/>
          <w:sz w:val="22"/>
        </w:rPr>
        <w:t xml:space="preserve">CHLAMG will comply with </w:t>
      </w:r>
      <w:r w:rsidRPr="002A73ED">
        <w:rPr>
          <w:rFonts w:asciiTheme="majorHAnsi" w:hAnsiTheme="majorHAnsi"/>
          <w:sz w:val="22"/>
        </w:rPr>
        <w:t xml:space="preserve">HIPAA privacy and security requirements at all times </w:t>
      </w:r>
    </w:p>
    <w:p w:rsidR="002A73ED" w:rsidRPr="002A73ED" w:rsidRDefault="002A73ED" w:rsidP="00F633B8">
      <w:pPr>
        <w:pStyle w:val="Default"/>
        <w:numPr>
          <w:ilvl w:val="0"/>
          <w:numId w:val="13"/>
        </w:numPr>
        <w:spacing w:after="120"/>
        <w:rPr>
          <w:rFonts w:asciiTheme="majorHAnsi" w:hAnsiTheme="majorHAnsi"/>
          <w:sz w:val="22"/>
        </w:rPr>
      </w:pPr>
      <w:r w:rsidRPr="002A73ED">
        <w:rPr>
          <w:rFonts w:asciiTheme="majorHAnsi" w:hAnsiTheme="majorHAnsi"/>
          <w:sz w:val="22"/>
        </w:rPr>
        <w:t>MATERIALS NEEDED FOR THE AUDIT INCLUDE:</w:t>
      </w:r>
    </w:p>
    <w:p w:rsidR="002A73ED" w:rsidRPr="002A73ED" w:rsidRDefault="002A73ED" w:rsidP="00F633B8">
      <w:pPr>
        <w:pStyle w:val="Default"/>
        <w:numPr>
          <w:ilvl w:val="1"/>
          <w:numId w:val="13"/>
        </w:numPr>
        <w:spacing w:after="120"/>
        <w:rPr>
          <w:rFonts w:asciiTheme="majorHAnsi" w:hAnsiTheme="majorHAnsi"/>
          <w:sz w:val="22"/>
        </w:rPr>
      </w:pPr>
      <w:r w:rsidRPr="002A73ED">
        <w:rPr>
          <w:rFonts w:asciiTheme="majorHAnsi" w:hAnsiTheme="majorHAnsi"/>
          <w:sz w:val="22"/>
        </w:rPr>
        <w:t xml:space="preserve">A copy of the CMS 1500 billing form </w:t>
      </w:r>
    </w:p>
    <w:p w:rsidR="002A73ED" w:rsidRPr="002A73ED" w:rsidRDefault="002A73ED" w:rsidP="00F633B8">
      <w:pPr>
        <w:pStyle w:val="Default"/>
        <w:numPr>
          <w:ilvl w:val="1"/>
          <w:numId w:val="13"/>
        </w:numPr>
        <w:spacing w:after="120"/>
        <w:rPr>
          <w:rFonts w:asciiTheme="majorHAnsi" w:hAnsiTheme="majorHAnsi"/>
          <w:sz w:val="22"/>
        </w:rPr>
      </w:pPr>
      <w:r w:rsidRPr="002A73ED">
        <w:rPr>
          <w:rFonts w:asciiTheme="majorHAnsi" w:hAnsiTheme="majorHAnsi"/>
          <w:sz w:val="22"/>
        </w:rPr>
        <w:t>Medical record documentation</w:t>
      </w:r>
    </w:p>
    <w:p w:rsidR="002A73ED" w:rsidRPr="002A73ED" w:rsidRDefault="002A73ED" w:rsidP="00F633B8">
      <w:pPr>
        <w:pStyle w:val="Default"/>
        <w:numPr>
          <w:ilvl w:val="1"/>
          <w:numId w:val="13"/>
        </w:numPr>
        <w:spacing w:after="120"/>
        <w:rPr>
          <w:rFonts w:asciiTheme="majorHAnsi" w:hAnsiTheme="majorHAnsi"/>
          <w:sz w:val="22"/>
        </w:rPr>
      </w:pPr>
      <w:r w:rsidRPr="002A73ED">
        <w:rPr>
          <w:rFonts w:asciiTheme="majorHAnsi" w:hAnsiTheme="majorHAnsi"/>
          <w:sz w:val="22"/>
        </w:rPr>
        <w:t xml:space="preserve">A list of the division’s current faculty, fellows, and allied health practitioners </w:t>
      </w:r>
    </w:p>
    <w:p w:rsidR="002A73ED" w:rsidRPr="002A73ED" w:rsidRDefault="002A73ED" w:rsidP="00F633B8">
      <w:pPr>
        <w:pStyle w:val="Default"/>
        <w:numPr>
          <w:ilvl w:val="1"/>
          <w:numId w:val="13"/>
        </w:numPr>
        <w:spacing w:after="120"/>
        <w:rPr>
          <w:rFonts w:asciiTheme="majorHAnsi" w:hAnsiTheme="majorHAnsi"/>
          <w:sz w:val="22"/>
        </w:rPr>
      </w:pPr>
      <w:r w:rsidRPr="002A73ED">
        <w:rPr>
          <w:rFonts w:asciiTheme="majorHAnsi" w:hAnsiTheme="majorHAnsi"/>
          <w:sz w:val="22"/>
        </w:rPr>
        <w:t xml:space="preserve">A copy of the </w:t>
      </w:r>
      <w:proofErr w:type="spellStart"/>
      <w:r w:rsidRPr="002A73ED">
        <w:rPr>
          <w:rFonts w:asciiTheme="majorHAnsi" w:hAnsiTheme="majorHAnsi"/>
          <w:sz w:val="22"/>
        </w:rPr>
        <w:t>Medi</w:t>
      </w:r>
      <w:proofErr w:type="spellEnd"/>
      <w:r w:rsidRPr="002A73ED">
        <w:rPr>
          <w:rFonts w:asciiTheme="majorHAnsi" w:hAnsiTheme="majorHAnsi"/>
          <w:sz w:val="22"/>
        </w:rPr>
        <w:t xml:space="preserve">-Cal Physician/Practitioner Interface Document if relying on nurse practitioner or physician assistant documentation to support billing   </w:t>
      </w:r>
    </w:p>
    <w:p w:rsidR="002A73ED" w:rsidRPr="002A73ED" w:rsidRDefault="002A73ED" w:rsidP="00F633B8">
      <w:pPr>
        <w:pStyle w:val="Default"/>
        <w:numPr>
          <w:ilvl w:val="0"/>
          <w:numId w:val="13"/>
        </w:numPr>
        <w:spacing w:after="120"/>
        <w:rPr>
          <w:rFonts w:asciiTheme="majorHAnsi" w:hAnsiTheme="majorHAnsi"/>
          <w:sz w:val="22"/>
        </w:rPr>
      </w:pPr>
      <w:r w:rsidRPr="002A73ED">
        <w:rPr>
          <w:rFonts w:asciiTheme="majorHAnsi" w:hAnsiTheme="majorHAnsi"/>
          <w:sz w:val="22"/>
        </w:rPr>
        <w:t>FINDINGS</w:t>
      </w:r>
    </w:p>
    <w:p w:rsidR="002A73ED" w:rsidRPr="002A73ED" w:rsidRDefault="00C67636" w:rsidP="00F633B8">
      <w:pPr>
        <w:pStyle w:val="Default"/>
        <w:numPr>
          <w:ilvl w:val="1"/>
          <w:numId w:val="13"/>
        </w:numPr>
        <w:spacing w:after="120"/>
        <w:rPr>
          <w:rFonts w:asciiTheme="majorHAnsi" w:hAnsiTheme="majorHAnsi"/>
          <w:sz w:val="22"/>
        </w:rPr>
      </w:pPr>
      <w:r>
        <w:rPr>
          <w:rFonts w:asciiTheme="majorHAnsi" w:hAnsiTheme="majorHAnsi"/>
          <w:sz w:val="22"/>
        </w:rPr>
        <w:t>Compliance will present a</w:t>
      </w:r>
      <w:r w:rsidR="002A73ED" w:rsidRPr="002A73ED">
        <w:rPr>
          <w:rFonts w:asciiTheme="majorHAnsi" w:hAnsiTheme="majorHAnsi"/>
          <w:sz w:val="22"/>
        </w:rPr>
        <w:t xml:space="preserve"> preliminary report to the division head and administrative director at the completion of audit fieldwork.  Division personnel will have the opportunity to respond to preliminary findings or provide additional documentation at that time.  </w:t>
      </w:r>
      <w:r>
        <w:rPr>
          <w:rFonts w:asciiTheme="majorHAnsi" w:hAnsiTheme="majorHAnsi"/>
          <w:sz w:val="22"/>
        </w:rPr>
        <w:t>Compliance may also schedule i</w:t>
      </w:r>
      <w:r w:rsidR="002A73ED" w:rsidRPr="002A73ED">
        <w:rPr>
          <w:rFonts w:asciiTheme="majorHAnsi" w:hAnsiTheme="majorHAnsi"/>
          <w:sz w:val="22"/>
        </w:rPr>
        <w:t xml:space="preserve">nterim meetings or telephone conferences to obtain clarification or other information.  </w:t>
      </w:r>
      <w:r>
        <w:rPr>
          <w:rFonts w:asciiTheme="majorHAnsi" w:hAnsiTheme="majorHAnsi"/>
          <w:sz w:val="22"/>
        </w:rPr>
        <w:t>The Compliance Department wi</w:t>
      </w:r>
      <w:r w:rsidR="000046D8">
        <w:rPr>
          <w:rFonts w:asciiTheme="majorHAnsi" w:hAnsiTheme="majorHAnsi"/>
          <w:sz w:val="22"/>
        </w:rPr>
        <w:t>ll</w:t>
      </w:r>
      <w:r>
        <w:rPr>
          <w:rFonts w:asciiTheme="majorHAnsi" w:hAnsiTheme="majorHAnsi"/>
          <w:sz w:val="22"/>
        </w:rPr>
        <w:t xml:space="preserve"> incorporate d</w:t>
      </w:r>
      <w:r w:rsidR="002A73ED" w:rsidRPr="002A73ED">
        <w:rPr>
          <w:rFonts w:asciiTheme="majorHAnsi" w:hAnsiTheme="majorHAnsi"/>
          <w:sz w:val="22"/>
        </w:rPr>
        <w:t xml:space="preserve">ivisional input into the final report and present </w:t>
      </w:r>
      <w:r>
        <w:rPr>
          <w:rFonts w:asciiTheme="majorHAnsi" w:hAnsiTheme="majorHAnsi"/>
          <w:sz w:val="22"/>
        </w:rPr>
        <w:t xml:space="preserve">it </w:t>
      </w:r>
      <w:r w:rsidR="002A73ED" w:rsidRPr="002A73ED">
        <w:rPr>
          <w:rFonts w:asciiTheme="majorHAnsi" w:hAnsiTheme="majorHAnsi"/>
          <w:sz w:val="22"/>
        </w:rPr>
        <w:t xml:space="preserve">to Executive Compliance Committee (ECC). </w:t>
      </w:r>
    </w:p>
    <w:p w:rsidR="002A73ED" w:rsidRPr="002A73ED" w:rsidRDefault="002A73ED" w:rsidP="00F633B8">
      <w:pPr>
        <w:pStyle w:val="Default"/>
        <w:spacing w:after="120"/>
        <w:ind w:left="720"/>
        <w:rPr>
          <w:rFonts w:asciiTheme="majorHAnsi" w:hAnsiTheme="majorHAnsi"/>
          <w:sz w:val="22"/>
        </w:rPr>
      </w:pPr>
    </w:p>
    <w:p w:rsidR="002A73ED" w:rsidRPr="002A73ED" w:rsidRDefault="002A73ED" w:rsidP="00F633B8">
      <w:pPr>
        <w:pStyle w:val="Default"/>
        <w:numPr>
          <w:ilvl w:val="0"/>
          <w:numId w:val="13"/>
        </w:numPr>
        <w:spacing w:after="120"/>
        <w:rPr>
          <w:rFonts w:asciiTheme="majorHAnsi" w:hAnsiTheme="majorHAnsi"/>
          <w:sz w:val="22"/>
        </w:rPr>
      </w:pPr>
      <w:r w:rsidRPr="002A73ED">
        <w:rPr>
          <w:rFonts w:asciiTheme="majorHAnsi" w:hAnsiTheme="majorHAnsi"/>
          <w:sz w:val="22"/>
        </w:rPr>
        <w:t>FINAL REPORT</w:t>
      </w:r>
    </w:p>
    <w:p w:rsidR="002A73ED" w:rsidRDefault="00C67636" w:rsidP="00F633B8">
      <w:pPr>
        <w:pStyle w:val="Default"/>
        <w:numPr>
          <w:ilvl w:val="1"/>
          <w:numId w:val="13"/>
        </w:numPr>
        <w:spacing w:after="120"/>
        <w:rPr>
          <w:rFonts w:asciiTheme="majorHAnsi" w:hAnsiTheme="majorHAnsi"/>
          <w:sz w:val="22"/>
        </w:rPr>
      </w:pPr>
      <w:r>
        <w:rPr>
          <w:rFonts w:asciiTheme="majorHAnsi" w:hAnsiTheme="majorHAnsi"/>
          <w:sz w:val="22"/>
        </w:rPr>
        <w:t>The Compliance Department will prepare a</w:t>
      </w:r>
      <w:r w:rsidR="002A73ED" w:rsidRPr="002A73ED">
        <w:rPr>
          <w:rFonts w:asciiTheme="majorHAnsi" w:hAnsiTheme="majorHAnsi"/>
          <w:sz w:val="22"/>
        </w:rPr>
        <w:t xml:space="preserve"> written report documenting the findings and recommendations at the end of the audit.  The </w:t>
      </w:r>
      <w:r>
        <w:rPr>
          <w:rFonts w:asciiTheme="majorHAnsi" w:hAnsiTheme="majorHAnsi"/>
          <w:sz w:val="22"/>
        </w:rPr>
        <w:t xml:space="preserve">report will include the </w:t>
      </w:r>
      <w:r w:rsidR="002A73ED" w:rsidRPr="002A73ED">
        <w:rPr>
          <w:rFonts w:asciiTheme="majorHAnsi" w:hAnsiTheme="majorHAnsi"/>
          <w:sz w:val="22"/>
        </w:rPr>
        <w:t xml:space="preserve">division’s overall compliance score and individual physician findings.  The initial compliance ratings will serve as the baseline for future audits.  </w:t>
      </w:r>
    </w:p>
    <w:p w:rsidR="00055B8A" w:rsidRPr="002A73ED" w:rsidRDefault="00055B8A" w:rsidP="00055B8A">
      <w:pPr>
        <w:pStyle w:val="Default"/>
        <w:spacing w:after="120"/>
        <w:ind w:left="1440"/>
        <w:rPr>
          <w:rFonts w:asciiTheme="majorHAnsi" w:hAnsiTheme="majorHAnsi"/>
          <w:sz w:val="22"/>
        </w:rPr>
      </w:pPr>
    </w:p>
    <w:p w:rsidR="002A73ED" w:rsidRPr="002A73ED" w:rsidRDefault="002A73ED" w:rsidP="00F633B8">
      <w:pPr>
        <w:pStyle w:val="Default"/>
        <w:numPr>
          <w:ilvl w:val="0"/>
          <w:numId w:val="13"/>
        </w:numPr>
        <w:spacing w:after="120"/>
        <w:rPr>
          <w:rFonts w:asciiTheme="majorHAnsi" w:hAnsiTheme="majorHAnsi"/>
          <w:sz w:val="22"/>
        </w:rPr>
      </w:pPr>
      <w:r w:rsidRPr="002A73ED">
        <w:rPr>
          <w:rFonts w:asciiTheme="majorHAnsi" w:hAnsiTheme="majorHAnsi"/>
          <w:sz w:val="22"/>
        </w:rPr>
        <w:lastRenderedPageBreak/>
        <w:t>EDUCATION</w:t>
      </w:r>
    </w:p>
    <w:p w:rsidR="002A73ED" w:rsidRPr="002A73ED" w:rsidRDefault="00C67636" w:rsidP="00F633B8">
      <w:pPr>
        <w:pStyle w:val="Default"/>
        <w:numPr>
          <w:ilvl w:val="1"/>
          <w:numId w:val="13"/>
        </w:numPr>
        <w:spacing w:after="120"/>
        <w:rPr>
          <w:rFonts w:asciiTheme="majorHAnsi" w:hAnsiTheme="majorHAnsi"/>
          <w:sz w:val="22"/>
        </w:rPr>
      </w:pPr>
      <w:r>
        <w:rPr>
          <w:rFonts w:asciiTheme="majorHAnsi" w:hAnsiTheme="majorHAnsi"/>
          <w:sz w:val="22"/>
        </w:rPr>
        <w:t>Compliance will provide</w:t>
      </w:r>
      <w:r w:rsidR="004F15FA">
        <w:rPr>
          <w:rFonts w:asciiTheme="majorHAnsi" w:hAnsiTheme="majorHAnsi"/>
          <w:sz w:val="22"/>
        </w:rPr>
        <w:t xml:space="preserve"> a</w:t>
      </w:r>
      <w:r w:rsidR="002A73ED" w:rsidRPr="002A73ED">
        <w:rPr>
          <w:rFonts w:asciiTheme="majorHAnsi" w:hAnsiTheme="majorHAnsi"/>
          <w:sz w:val="22"/>
        </w:rPr>
        <w:t xml:space="preserve"> general education session covering the audit findings and necessary corrective action</w:t>
      </w:r>
      <w:r>
        <w:rPr>
          <w:rFonts w:asciiTheme="majorHAnsi" w:hAnsiTheme="majorHAnsi"/>
          <w:sz w:val="22"/>
        </w:rPr>
        <w:t xml:space="preserve"> and set up</w:t>
      </w:r>
      <w:r w:rsidR="002A73ED" w:rsidRPr="002A73ED">
        <w:rPr>
          <w:rFonts w:asciiTheme="majorHAnsi" w:hAnsiTheme="majorHAnsi"/>
          <w:sz w:val="22"/>
        </w:rPr>
        <w:t xml:space="preserve"> individual sessions between the auditor and physician</w:t>
      </w:r>
      <w:r>
        <w:rPr>
          <w:rFonts w:asciiTheme="majorHAnsi" w:hAnsiTheme="majorHAnsi"/>
          <w:sz w:val="22"/>
        </w:rPr>
        <w:t>, as Compliance deems necessary</w:t>
      </w:r>
      <w:r w:rsidR="002A73ED" w:rsidRPr="002A73ED">
        <w:rPr>
          <w:rFonts w:asciiTheme="majorHAnsi" w:hAnsiTheme="majorHAnsi"/>
          <w:sz w:val="22"/>
        </w:rPr>
        <w:t xml:space="preserve">.  The auditor will review the provider’s audited record sample with the physician or allied health practitioner, identifying opportunities for compliance.  </w:t>
      </w:r>
    </w:p>
    <w:p w:rsidR="002A73ED" w:rsidRDefault="002A73ED" w:rsidP="00F633B8">
      <w:pPr>
        <w:pStyle w:val="Default"/>
        <w:numPr>
          <w:ilvl w:val="0"/>
          <w:numId w:val="13"/>
        </w:numPr>
        <w:spacing w:after="120"/>
        <w:rPr>
          <w:rFonts w:asciiTheme="majorHAnsi" w:hAnsiTheme="majorHAnsi"/>
          <w:sz w:val="22"/>
        </w:rPr>
      </w:pPr>
      <w:bookmarkStart w:id="0" w:name="_GoBack"/>
      <w:bookmarkEnd w:id="0"/>
      <w:r w:rsidRPr="002A73ED">
        <w:rPr>
          <w:rFonts w:asciiTheme="majorHAnsi" w:hAnsiTheme="majorHAnsi"/>
          <w:sz w:val="22"/>
        </w:rPr>
        <w:t>COMPLIANCE RATING</w:t>
      </w:r>
    </w:p>
    <w:p w:rsidR="00F633B8" w:rsidRPr="00F633B8" w:rsidRDefault="00CC09F8" w:rsidP="00F633B8">
      <w:pPr>
        <w:pStyle w:val="Default"/>
        <w:numPr>
          <w:ilvl w:val="1"/>
          <w:numId w:val="13"/>
        </w:numPr>
        <w:spacing w:after="120"/>
        <w:rPr>
          <w:rFonts w:asciiTheme="majorHAnsi" w:hAnsiTheme="majorHAnsi"/>
          <w:sz w:val="22"/>
        </w:rPr>
      </w:pPr>
      <w:r>
        <w:rPr>
          <w:rFonts w:asciiTheme="majorHAnsi" w:hAnsiTheme="majorHAnsi"/>
          <w:sz w:val="22"/>
        </w:rPr>
        <w:t>CHLAMG expects a</w:t>
      </w:r>
      <w:r w:rsidR="002A73ED" w:rsidRPr="002A73ED">
        <w:rPr>
          <w:rFonts w:asciiTheme="majorHAnsi" w:hAnsiTheme="majorHAnsi"/>
          <w:sz w:val="22"/>
        </w:rPr>
        <w:t xml:space="preserve"> minimum compliance rating of 90%</w:t>
      </w:r>
      <w:r w:rsidR="00644DBF">
        <w:rPr>
          <w:rFonts w:asciiTheme="majorHAnsi" w:hAnsiTheme="majorHAnsi"/>
          <w:sz w:val="22"/>
        </w:rPr>
        <w:t xml:space="preserve"> </w:t>
      </w:r>
      <w:r w:rsidR="002A73ED" w:rsidRPr="002A73ED">
        <w:rPr>
          <w:rFonts w:asciiTheme="majorHAnsi" w:hAnsiTheme="majorHAnsi"/>
          <w:sz w:val="22"/>
        </w:rPr>
        <w:t xml:space="preserve">of each individual provider as well as the division as a whole.  </w:t>
      </w:r>
      <w:r>
        <w:rPr>
          <w:rFonts w:asciiTheme="majorHAnsi" w:hAnsiTheme="majorHAnsi"/>
          <w:sz w:val="22"/>
        </w:rPr>
        <w:t>The Compliance Department will re-audit, audit more frequently, and provide more education and training for providers or divisions that f</w:t>
      </w:r>
      <w:r w:rsidR="002A73ED" w:rsidRPr="002A73ED">
        <w:rPr>
          <w:rFonts w:asciiTheme="majorHAnsi" w:hAnsiTheme="majorHAnsi"/>
          <w:sz w:val="22"/>
        </w:rPr>
        <w:t>ail to achieve th</w:t>
      </w:r>
      <w:r w:rsidR="00B04852">
        <w:rPr>
          <w:rFonts w:asciiTheme="majorHAnsi" w:hAnsiTheme="majorHAnsi"/>
          <w:sz w:val="22"/>
        </w:rPr>
        <w:t>is</w:t>
      </w:r>
      <w:r w:rsidR="000046D8">
        <w:rPr>
          <w:rFonts w:asciiTheme="majorHAnsi" w:hAnsiTheme="majorHAnsi"/>
          <w:sz w:val="22"/>
        </w:rPr>
        <w:t xml:space="preserve"> goal</w:t>
      </w:r>
      <w:r w:rsidR="002A73ED" w:rsidRPr="002A73ED">
        <w:rPr>
          <w:rFonts w:asciiTheme="majorHAnsi" w:hAnsiTheme="majorHAnsi"/>
          <w:sz w:val="22"/>
        </w:rPr>
        <w:t xml:space="preserve">.  </w:t>
      </w:r>
      <w:r>
        <w:rPr>
          <w:rFonts w:asciiTheme="majorHAnsi" w:hAnsiTheme="majorHAnsi"/>
          <w:sz w:val="22"/>
        </w:rPr>
        <w:t>If a d</w:t>
      </w:r>
      <w:r w:rsidR="002A73ED" w:rsidRPr="002A73ED">
        <w:rPr>
          <w:rFonts w:asciiTheme="majorHAnsi" w:hAnsiTheme="majorHAnsi"/>
          <w:sz w:val="22"/>
        </w:rPr>
        <w:t>ivision fail</w:t>
      </w:r>
      <w:r w:rsidR="00644DBF">
        <w:rPr>
          <w:rFonts w:asciiTheme="majorHAnsi" w:hAnsiTheme="majorHAnsi"/>
          <w:sz w:val="22"/>
        </w:rPr>
        <w:t>s</w:t>
      </w:r>
      <w:r w:rsidR="002A73ED" w:rsidRPr="002A73ED">
        <w:rPr>
          <w:rFonts w:asciiTheme="majorHAnsi" w:hAnsiTheme="majorHAnsi"/>
          <w:sz w:val="22"/>
        </w:rPr>
        <w:t xml:space="preserve"> to meet the 90% compliance rating</w:t>
      </w:r>
      <w:r>
        <w:rPr>
          <w:rFonts w:asciiTheme="majorHAnsi" w:hAnsiTheme="majorHAnsi"/>
          <w:sz w:val="22"/>
        </w:rPr>
        <w:t xml:space="preserve">, the Compliance Department will conduct more audits and education </w:t>
      </w:r>
      <w:r w:rsidR="002A73ED" w:rsidRPr="002A73ED">
        <w:rPr>
          <w:rFonts w:asciiTheme="majorHAnsi" w:hAnsiTheme="majorHAnsi"/>
          <w:sz w:val="22"/>
        </w:rPr>
        <w:t xml:space="preserve">until </w:t>
      </w:r>
      <w:r>
        <w:rPr>
          <w:rFonts w:asciiTheme="majorHAnsi" w:hAnsiTheme="majorHAnsi"/>
          <w:sz w:val="22"/>
        </w:rPr>
        <w:t xml:space="preserve">the division achieves </w:t>
      </w:r>
      <w:r w:rsidR="002A73ED" w:rsidRPr="002A73ED">
        <w:rPr>
          <w:rFonts w:asciiTheme="majorHAnsi" w:hAnsiTheme="majorHAnsi"/>
          <w:sz w:val="22"/>
        </w:rPr>
        <w:t>90%</w:t>
      </w:r>
      <w:r>
        <w:rPr>
          <w:rFonts w:asciiTheme="majorHAnsi" w:hAnsiTheme="majorHAnsi"/>
          <w:sz w:val="22"/>
        </w:rPr>
        <w:t>.</w:t>
      </w:r>
      <w:r w:rsidR="002A73ED" w:rsidRPr="002A73ED">
        <w:rPr>
          <w:rFonts w:asciiTheme="majorHAnsi" w:hAnsiTheme="majorHAnsi"/>
          <w:sz w:val="22"/>
        </w:rPr>
        <w:t xml:space="preserve">  Once </w:t>
      </w:r>
      <w:r>
        <w:rPr>
          <w:rFonts w:asciiTheme="majorHAnsi" w:hAnsiTheme="majorHAnsi"/>
          <w:sz w:val="22"/>
        </w:rPr>
        <w:t xml:space="preserve">the division </w:t>
      </w:r>
      <w:r w:rsidR="002A73ED" w:rsidRPr="002A73ED">
        <w:rPr>
          <w:rFonts w:asciiTheme="majorHAnsi" w:hAnsiTheme="majorHAnsi"/>
          <w:sz w:val="22"/>
        </w:rPr>
        <w:t>achieve</w:t>
      </w:r>
      <w:r>
        <w:rPr>
          <w:rFonts w:asciiTheme="majorHAnsi" w:hAnsiTheme="majorHAnsi"/>
          <w:sz w:val="22"/>
        </w:rPr>
        <w:t>s 90%</w:t>
      </w:r>
      <w:r w:rsidR="002A73ED" w:rsidRPr="002A73ED">
        <w:rPr>
          <w:rFonts w:asciiTheme="majorHAnsi" w:hAnsiTheme="majorHAnsi"/>
          <w:sz w:val="22"/>
        </w:rPr>
        <w:t xml:space="preserve">, </w:t>
      </w:r>
      <w:r>
        <w:rPr>
          <w:rFonts w:asciiTheme="majorHAnsi" w:hAnsiTheme="majorHAnsi"/>
          <w:sz w:val="22"/>
        </w:rPr>
        <w:t>Compliance will continue to monitor</w:t>
      </w:r>
      <w:r w:rsidR="00B04852">
        <w:rPr>
          <w:rFonts w:asciiTheme="majorHAnsi" w:hAnsiTheme="majorHAnsi"/>
          <w:sz w:val="22"/>
        </w:rPr>
        <w:t xml:space="preserve"> </w:t>
      </w:r>
      <w:r w:rsidR="002A73ED" w:rsidRPr="002A73ED">
        <w:rPr>
          <w:rFonts w:asciiTheme="majorHAnsi" w:hAnsiTheme="majorHAnsi"/>
          <w:sz w:val="22"/>
        </w:rPr>
        <w:t>divisional compliance</w:t>
      </w:r>
      <w:r w:rsidR="00B04852">
        <w:rPr>
          <w:rFonts w:asciiTheme="majorHAnsi" w:hAnsiTheme="majorHAnsi"/>
          <w:sz w:val="22"/>
        </w:rPr>
        <w:t xml:space="preserve"> </w:t>
      </w:r>
      <w:r w:rsidR="002A73ED" w:rsidRPr="002A73ED">
        <w:rPr>
          <w:rFonts w:asciiTheme="majorHAnsi" w:hAnsiTheme="majorHAnsi"/>
          <w:sz w:val="22"/>
        </w:rPr>
        <w:t>and report</w:t>
      </w:r>
      <w:r w:rsidR="00B04852">
        <w:rPr>
          <w:rFonts w:asciiTheme="majorHAnsi" w:hAnsiTheme="majorHAnsi"/>
          <w:sz w:val="22"/>
        </w:rPr>
        <w:t xml:space="preserve"> </w:t>
      </w:r>
      <w:r w:rsidR="002A73ED" w:rsidRPr="002A73ED">
        <w:rPr>
          <w:rFonts w:asciiTheme="majorHAnsi" w:hAnsiTheme="majorHAnsi"/>
          <w:sz w:val="22"/>
        </w:rPr>
        <w:t xml:space="preserve">to the ECC on a regular basis.  </w:t>
      </w:r>
      <w:r>
        <w:rPr>
          <w:rFonts w:asciiTheme="majorHAnsi" w:hAnsiTheme="majorHAnsi"/>
          <w:sz w:val="22"/>
        </w:rPr>
        <w:t>The ECC may impose corrective action if a division r</w:t>
      </w:r>
      <w:r w:rsidR="002A73ED" w:rsidRPr="002A73ED">
        <w:rPr>
          <w:rFonts w:asciiTheme="majorHAnsi" w:hAnsiTheme="majorHAnsi"/>
          <w:sz w:val="22"/>
        </w:rPr>
        <w:t>epeated</w:t>
      </w:r>
      <w:r>
        <w:rPr>
          <w:rFonts w:asciiTheme="majorHAnsi" w:hAnsiTheme="majorHAnsi"/>
          <w:sz w:val="22"/>
        </w:rPr>
        <w:t>ly</w:t>
      </w:r>
      <w:r w:rsidR="002A73ED" w:rsidRPr="002A73ED">
        <w:rPr>
          <w:rFonts w:asciiTheme="majorHAnsi" w:hAnsiTheme="majorHAnsi"/>
          <w:sz w:val="22"/>
        </w:rPr>
        <w:t xml:space="preserve"> fail</w:t>
      </w:r>
      <w:r>
        <w:rPr>
          <w:rFonts w:asciiTheme="majorHAnsi" w:hAnsiTheme="majorHAnsi"/>
          <w:sz w:val="22"/>
        </w:rPr>
        <w:t>s</w:t>
      </w:r>
      <w:r w:rsidR="002A73ED" w:rsidRPr="002A73ED">
        <w:rPr>
          <w:rFonts w:asciiTheme="majorHAnsi" w:hAnsiTheme="majorHAnsi"/>
          <w:sz w:val="22"/>
        </w:rPr>
        <w:t xml:space="preserve"> to achieve the minimum compliance rating of 90%.  </w:t>
      </w:r>
    </w:p>
    <w:p w:rsidR="002A73ED" w:rsidRPr="002A73ED" w:rsidRDefault="002A73ED">
      <w:pPr>
        <w:pStyle w:val="Default"/>
        <w:numPr>
          <w:ilvl w:val="0"/>
          <w:numId w:val="13"/>
        </w:numPr>
        <w:spacing w:after="120"/>
        <w:rPr>
          <w:rFonts w:asciiTheme="majorHAnsi" w:hAnsiTheme="majorHAnsi"/>
          <w:sz w:val="22"/>
        </w:rPr>
      </w:pPr>
      <w:r w:rsidRPr="002A73ED">
        <w:rPr>
          <w:rFonts w:asciiTheme="majorHAnsi" w:hAnsiTheme="majorHAnsi"/>
          <w:sz w:val="22"/>
        </w:rPr>
        <w:t>CORRECTIVE ACTION</w:t>
      </w:r>
    </w:p>
    <w:p w:rsidR="002A73ED" w:rsidRPr="002A73ED" w:rsidRDefault="00CC09F8" w:rsidP="00F633B8">
      <w:pPr>
        <w:pStyle w:val="Default"/>
        <w:numPr>
          <w:ilvl w:val="1"/>
          <w:numId w:val="13"/>
        </w:numPr>
        <w:spacing w:after="120"/>
        <w:rPr>
          <w:rFonts w:asciiTheme="majorHAnsi" w:hAnsiTheme="majorHAnsi"/>
          <w:sz w:val="22"/>
        </w:rPr>
      </w:pPr>
      <w:r w:rsidRPr="00B102C0">
        <w:rPr>
          <w:rFonts w:asciiTheme="majorHAnsi" w:hAnsiTheme="majorHAnsi"/>
          <w:color w:val="auto"/>
          <w:sz w:val="22"/>
        </w:rPr>
        <w:t>The Compliance Depart</w:t>
      </w:r>
      <w:r w:rsidR="006660CA" w:rsidRPr="00B102C0">
        <w:rPr>
          <w:rFonts w:asciiTheme="majorHAnsi" w:hAnsiTheme="majorHAnsi"/>
          <w:color w:val="auto"/>
          <w:sz w:val="22"/>
        </w:rPr>
        <w:t>ment</w:t>
      </w:r>
      <w:r w:rsidRPr="00B102C0">
        <w:rPr>
          <w:rFonts w:asciiTheme="majorHAnsi" w:hAnsiTheme="majorHAnsi"/>
          <w:color w:val="auto"/>
          <w:sz w:val="22"/>
        </w:rPr>
        <w:t xml:space="preserve"> </w:t>
      </w:r>
      <w:r>
        <w:rPr>
          <w:rFonts w:asciiTheme="majorHAnsi" w:hAnsiTheme="majorHAnsi"/>
          <w:sz w:val="22"/>
        </w:rPr>
        <w:t>will audit e</w:t>
      </w:r>
      <w:r w:rsidR="002A73ED" w:rsidRPr="002A73ED">
        <w:rPr>
          <w:rFonts w:asciiTheme="majorHAnsi" w:hAnsiTheme="majorHAnsi"/>
          <w:sz w:val="22"/>
        </w:rPr>
        <w:t xml:space="preserve">ach division at least annually.  </w:t>
      </w:r>
      <w:r w:rsidR="002506E4">
        <w:rPr>
          <w:rFonts w:asciiTheme="majorHAnsi" w:hAnsiTheme="majorHAnsi"/>
          <w:sz w:val="22"/>
        </w:rPr>
        <w:t>Compliance will conduct i</w:t>
      </w:r>
      <w:r w:rsidR="002A73ED" w:rsidRPr="002A73ED">
        <w:rPr>
          <w:rFonts w:asciiTheme="majorHAnsi" w:hAnsiTheme="majorHAnsi"/>
          <w:sz w:val="22"/>
        </w:rPr>
        <w:t xml:space="preserve">nterval audits and education more frequently based upon the compliance rating.  </w:t>
      </w:r>
      <w:r w:rsidR="002506E4">
        <w:rPr>
          <w:rFonts w:asciiTheme="majorHAnsi" w:hAnsiTheme="majorHAnsi"/>
          <w:sz w:val="22"/>
        </w:rPr>
        <w:t>CHLAMG requires d</w:t>
      </w:r>
      <w:r w:rsidR="002A73ED" w:rsidRPr="002A73ED">
        <w:rPr>
          <w:rFonts w:asciiTheme="majorHAnsi" w:hAnsiTheme="majorHAnsi"/>
          <w:sz w:val="22"/>
        </w:rPr>
        <w:t xml:space="preserve">ivisions and/or physicians who do not achieve improved and sustained compliance ratings </w:t>
      </w:r>
      <w:r w:rsidR="002506E4">
        <w:rPr>
          <w:rFonts w:asciiTheme="majorHAnsi" w:hAnsiTheme="majorHAnsi"/>
          <w:sz w:val="22"/>
        </w:rPr>
        <w:t>to</w:t>
      </w:r>
      <w:r w:rsidR="00B04852">
        <w:rPr>
          <w:rFonts w:asciiTheme="majorHAnsi" w:hAnsiTheme="majorHAnsi"/>
          <w:sz w:val="22"/>
        </w:rPr>
        <w:t xml:space="preserve"> </w:t>
      </w:r>
      <w:r w:rsidR="002A73ED" w:rsidRPr="002A73ED">
        <w:rPr>
          <w:rFonts w:asciiTheme="majorHAnsi" w:hAnsiTheme="majorHAnsi"/>
          <w:sz w:val="22"/>
        </w:rPr>
        <w:t>undergo corrective action including remedial training, pre-billing audit holds, and suspension or termination of billing privileges.</w:t>
      </w:r>
    </w:p>
    <w:p w:rsidR="002A73ED" w:rsidRPr="002A73ED" w:rsidRDefault="002A73ED" w:rsidP="00F633B8">
      <w:pPr>
        <w:pStyle w:val="Default"/>
        <w:numPr>
          <w:ilvl w:val="1"/>
          <w:numId w:val="13"/>
        </w:numPr>
        <w:spacing w:after="120"/>
        <w:rPr>
          <w:rFonts w:asciiTheme="majorHAnsi" w:hAnsiTheme="majorHAnsi"/>
          <w:sz w:val="22"/>
        </w:rPr>
      </w:pPr>
      <w:r w:rsidRPr="002A73ED">
        <w:rPr>
          <w:rFonts w:asciiTheme="majorHAnsi" w:hAnsiTheme="majorHAnsi"/>
          <w:sz w:val="22"/>
        </w:rPr>
        <w:t>Follow up and remedial action will occur on the following schedule.</w:t>
      </w:r>
    </w:p>
    <w:p w:rsidR="002A73ED" w:rsidRDefault="002A73ED" w:rsidP="00F633B8">
      <w:pPr>
        <w:pStyle w:val="Default"/>
        <w:spacing w:after="120"/>
        <w:ind w:left="360"/>
        <w:rPr>
          <w:rFonts w:asciiTheme="majorHAnsi" w:hAnsiTheme="majorHAnsi"/>
          <w:sz w:val="22"/>
        </w:rPr>
      </w:pPr>
    </w:p>
    <w:tbl>
      <w:tblPr>
        <w:tblStyle w:val="TableGrid"/>
        <w:tblW w:w="0" w:type="auto"/>
        <w:tblInd w:w="1080" w:type="dxa"/>
        <w:tblLook w:val="04A0" w:firstRow="1" w:lastRow="0" w:firstColumn="1" w:lastColumn="0" w:noHBand="0" w:noVBand="1"/>
      </w:tblPr>
      <w:tblGrid>
        <w:gridCol w:w="3262"/>
        <w:gridCol w:w="3209"/>
        <w:gridCol w:w="3239"/>
      </w:tblGrid>
      <w:tr w:rsidR="00470CCD" w:rsidTr="00470CCD">
        <w:tc>
          <w:tcPr>
            <w:tcW w:w="3596" w:type="dxa"/>
          </w:tcPr>
          <w:p w:rsidR="00917EA1" w:rsidRPr="00682607" w:rsidRDefault="00917EA1" w:rsidP="00682607">
            <w:pPr>
              <w:pStyle w:val="Default"/>
              <w:spacing w:after="120"/>
              <w:jc w:val="center"/>
              <w:rPr>
                <w:rFonts w:asciiTheme="majorHAnsi" w:hAnsiTheme="majorHAnsi"/>
                <w:b/>
                <w:sz w:val="22"/>
              </w:rPr>
            </w:pPr>
            <w:r w:rsidRPr="00682607">
              <w:rPr>
                <w:rFonts w:asciiTheme="majorHAnsi" w:hAnsiTheme="majorHAnsi"/>
                <w:b/>
                <w:sz w:val="22"/>
              </w:rPr>
              <w:t>Compliance Rating</w:t>
            </w:r>
          </w:p>
        </w:tc>
        <w:tc>
          <w:tcPr>
            <w:tcW w:w="3597" w:type="dxa"/>
          </w:tcPr>
          <w:p w:rsidR="00917EA1" w:rsidRPr="00682607" w:rsidRDefault="00917EA1" w:rsidP="00682607">
            <w:pPr>
              <w:pStyle w:val="Default"/>
              <w:spacing w:after="120"/>
              <w:jc w:val="center"/>
              <w:rPr>
                <w:rFonts w:asciiTheme="majorHAnsi" w:hAnsiTheme="majorHAnsi"/>
                <w:b/>
                <w:sz w:val="22"/>
              </w:rPr>
            </w:pPr>
            <w:r w:rsidRPr="00682607">
              <w:rPr>
                <w:rFonts w:asciiTheme="majorHAnsi" w:hAnsiTheme="majorHAnsi"/>
                <w:b/>
                <w:sz w:val="22"/>
              </w:rPr>
              <w:t>Interval Audit</w:t>
            </w:r>
          </w:p>
        </w:tc>
        <w:tc>
          <w:tcPr>
            <w:tcW w:w="3597" w:type="dxa"/>
          </w:tcPr>
          <w:p w:rsidR="00917EA1" w:rsidRPr="00682607" w:rsidRDefault="00917EA1" w:rsidP="00682607">
            <w:pPr>
              <w:pStyle w:val="Default"/>
              <w:spacing w:after="120"/>
              <w:jc w:val="center"/>
              <w:rPr>
                <w:rFonts w:asciiTheme="majorHAnsi" w:hAnsiTheme="majorHAnsi"/>
                <w:b/>
                <w:sz w:val="22"/>
              </w:rPr>
            </w:pPr>
            <w:r w:rsidRPr="00682607">
              <w:rPr>
                <w:rFonts w:asciiTheme="majorHAnsi" w:hAnsiTheme="majorHAnsi"/>
                <w:b/>
                <w:sz w:val="22"/>
              </w:rPr>
              <w:t>Education</w:t>
            </w:r>
          </w:p>
        </w:tc>
      </w:tr>
      <w:tr w:rsidR="00470CCD" w:rsidTr="00470CCD">
        <w:tc>
          <w:tcPr>
            <w:tcW w:w="3596" w:type="dxa"/>
          </w:tcPr>
          <w:p w:rsidR="00917EA1" w:rsidRDefault="00917EA1" w:rsidP="00682607">
            <w:pPr>
              <w:pStyle w:val="Default"/>
              <w:spacing w:after="120"/>
              <w:jc w:val="center"/>
              <w:rPr>
                <w:rFonts w:asciiTheme="majorHAnsi" w:hAnsiTheme="majorHAnsi"/>
                <w:sz w:val="22"/>
              </w:rPr>
            </w:pPr>
            <w:r>
              <w:rPr>
                <w:rFonts w:asciiTheme="majorHAnsi" w:hAnsiTheme="majorHAnsi"/>
                <w:sz w:val="22"/>
              </w:rPr>
              <w:t>95% or Greater</w:t>
            </w:r>
          </w:p>
        </w:tc>
        <w:tc>
          <w:tcPr>
            <w:tcW w:w="3597" w:type="dxa"/>
          </w:tcPr>
          <w:p w:rsidR="00917EA1" w:rsidRDefault="00917EA1" w:rsidP="00682607">
            <w:pPr>
              <w:pStyle w:val="Default"/>
              <w:spacing w:after="120"/>
              <w:jc w:val="center"/>
              <w:rPr>
                <w:rFonts w:asciiTheme="majorHAnsi" w:hAnsiTheme="majorHAnsi"/>
                <w:sz w:val="22"/>
              </w:rPr>
            </w:pPr>
            <w:r>
              <w:rPr>
                <w:rFonts w:asciiTheme="majorHAnsi" w:hAnsiTheme="majorHAnsi"/>
                <w:sz w:val="22"/>
              </w:rPr>
              <w:t>24 Months</w:t>
            </w:r>
          </w:p>
        </w:tc>
        <w:tc>
          <w:tcPr>
            <w:tcW w:w="3597" w:type="dxa"/>
          </w:tcPr>
          <w:p w:rsidR="00917EA1" w:rsidRDefault="00917EA1" w:rsidP="00682607">
            <w:pPr>
              <w:pStyle w:val="Default"/>
              <w:spacing w:after="120"/>
              <w:jc w:val="center"/>
              <w:rPr>
                <w:rFonts w:asciiTheme="majorHAnsi" w:hAnsiTheme="majorHAnsi"/>
                <w:sz w:val="22"/>
              </w:rPr>
            </w:pPr>
            <w:r>
              <w:rPr>
                <w:rFonts w:asciiTheme="majorHAnsi" w:hAnsiTheme="majorHAnsi"/>
                <w:sz w:val="22"/>
              </w:rPr>
              <w:t>24 Months</w:t>
            </w:r>
          </w:p>
        </w:tc>
      </w:tr>
      <w:tr w:rsidR="00470CCD" w:rsidTr="00470CCD">
        <w:tc>
          <w:tcPr>
            <w:tcW w:w="3596" w:type="dxa"/>
          </w:tcPr>
          <w:p w:rsidR="00917EA1" w:rsidRDefault="00917EA1" w:rsidP="00682607">
            <w:pPr>
              <w:pStyle w:val="Default"/>
              <w:spacing w:after="120"/>
              <w:jc w:val="center"/>
              <w:rPr>
                <w:rFonts w:asciiTheme="majorHAnsi" w:hAnsiTheme="majorHAnsi"/>
                <w:sz w:val="22"/>
              </w:rPr>
            </w:pPr>
            <w:r>
              <w:rPr>
                <w:rFonts w:asciiTheme="majorHAnsi" w:hAnsiTheme="majorHAnsi"/>
                <w:sz w:val="22"/>
              </w:rPr>
              <w:t>90 – 94.9%</w:t>
            </w:r>
          </w:p>
        </w:tc>
        <w:tc>
          <w:tcPr>
            <w:tcW w:w="3597" w:type="dxa"/>
          </w:tcPr>
          <w:p w:rsidR="00917EA1" w:rsidRDefault="00917EA1" w:rsidP="00682607">
            <w:pPr>
              <w:pStyle w:val="Default"/>
              <w:spacing w:after="120"/>
              <w:jc w:val="center"/>
              <w:rPr>
                <w:rFonts w:asciiTheme="majorHAnsi" w:hAnsiTheme="majorHAnsi"/>
                <w:sz w:val="22"/>
              </w:rPr>
            </w:pPr>
            <w:r>
              <w:rPr>
                <w:rFonts w:asciiTheme="majorHAnsi" w:hAnsiTheme="majorHAnsi"/>
                <w:sz w:val="22"/>
              </w:rPr>
              <w:t>12 Months</w:t>
            </w:r>
          </w:p>
        </w:tc>
        <w:tc>
          <w:tcPr>
            <w:tcW w:w="3597" w:type="dxa"/>
          </w:tcPr>
          <w:p w:rsidR="00917EA1" w:rsidRDefault="00917EA1" w:rsidP="00682607">
            <w:pPr>
              <w:pStyle w:val="Default"/>
              <w:spacing w:after="120"/>
              <w:jc w:val="center"/>
              <w:rPr>
                <w:rFonts w:asciiTheme="majorHAnsi" w:hAnsiTheme="majorHAnsi"/>
                <w:sz w:val="22"/>
              </w:rPr>
            </w:pPr>
            <w:r>
              <w:rPr>
                <w:rFonts w:asciiTheme="majorHAnsi" w:hAnsiTheme="majorHAnsi"/>
                <w:sz w:val="22"/>
              </w:rPr>
              <w:t>12 Months</w:t>
            </w:r>
          </w:p>
        </w:tc>
      </w:tr>
      <w:tr w:rsidR="00470CCD" w:rsidTr="00470CCD">
        <w:tc>
          <w:tcPr>
            <w:tcW w:w="3596" w:type="dxa"/>
          </w:tcPr>
          <w:p w:rsidR="00917EA1" w:rsidRDefault="006F4774" w:rsidP="00682607">
            <w:pPr>
              <w:pStyle w:val="Default"/>
              <w:spacing w:after="120"/>
              <w:jc w:val="center"/>
              <w:rPr>
                <w:rFonts w:asciiTheme="majorHAnsi" w:hAnsiTheme="majorHAnsi"/>
                <w:sz w:val="22"/>
              </w:rPr>
            </w:pPr>
            <w:r>
              <w:rPr>
                <w:rFonts w:asciiTheme="majorHAnsi" w:hAnsiTheme="majorHAnsi"/>
                <w:sz w:val="22"/>
              </w:rPr>
              <w:t>75 – 89.9%</w:t>
            </w:r>
          </w:p>
        </w:tc>
        <w:tc>
          <w:tcPr>
            <w:tcW w:w="3597" w:type="dxa"/>
          </w:tcPr>
          <w:p w:rsidR="00917EA1" w:rsidRDefault="006F4774" w:rsidP="00682607">
            <w:pPr>
              <w:pStyle w:val="Default"/>
              <w:spacing w:after="120"/>
              <w:jc w:val="center"/>
              <w:rPr>
                <w:rFonts w:asciiTheme="majorHAnsi" w:hAnsiTheme="majorHAnsi"/>
                <w:sz w:val="22"/>
              </w:rPr>
            </w:pPr>
            <w:r>
              <w:rPr>
                <w:rFonts w:asciiTheme="majorHAnsi" w:hAnsiTheme="majorHAnsi"/>
                <w:sz w:val="22"/>
              </w:rPr>
              <w:t>6 Months</w:t>
            </w:r>
          </w:p>
        </w:tc>
        <w:tc>
          <w:tcPr>
            <w:tcW w:w="3597" w:type="dxa"/>
          </w:tcPr>
          <w:p w:rsidR="00917EA1" w:rsidRDefault="006F4774" w:rsidP="00682607">
            <w:pPr>
              <w:pStyle w:val="Default"/>
              <w:spacing w:after="120"/>
              <w:jc w:val="center"/>
              <w:rPr>
                <w:rFonts w:asciiTheme="majorHAnsi" w:hAnsiTheme="majorHAnsi"/>
                <w:sz w:val="22"/>
              </w:rPr>
            </w:pPr>
            <w:r>
              <w:rPr>
                <w:rFonts w:asciiTheme="majorHAnsi" w:hAnsiTheme="majorHAnsi"/>
                <w:sz w:val="22"/>
              </w:rPr>
              <w:t>6 Months</w:t>
            </w:r>
          </w:p>
        </w:tc>
      </w:tr>
      <w:tr w:rsidR="00470CCD" w:rsidTr="00470CCD">
        <w:tc>
          <w:tcPr>
            <w:tcW w:w="3596" w:type="dxa"/>
          </w:tcPr>
          <w:p w:rsidR="00917EA1" w:rsidRDefault="00470CCD" w:rsidP="00682607">
            <w:pPr>
              <w:pStyle w:val="Default"/>
              <w:spacing w:after="120"/>
              <w:jc w:val="center"/>
              <w:rPr>
                <w:rFonts w:asciiTheme="majorHAnsi" w:hAnsiTheme="majorHAnsi"/>
                <w:sz w:val="22"/>
              </w:rPr>
            </w:pPr>
            <w:r>
              <w:rPr>
                <w:rFonts w:asciiTheme="majorHAnsi" w:hAnsiTheme="majorHAnsi"/>
                <w:sz w:val="22"/>
              </w:rPr>
              <w:t>50 – 74.9%</w:t>
            </w:r>
          </w:p>
        </w:tc>
        <w:tc>
          <w:tcPr>
            <w:tcW w:w="3597" w:type="dxa"/>
          </w:tcPr>
          <w:p w:rsidR="00917EA1" w:rsidRDefault="00470CCD" w:rsidP="00682607">
            <w:pPr>
              <w:pStyle w:val="Default"/>
              <w:spacing w:after="120"/>
              <w:jc w:val="center"/>
              <w:rPr>
                <w:rFonts w:asciiTheme="majorHAnsi" w:hAnsiTheme="majorHAnsi"/>
                <w:sz w:val="22"/>
              </w:rPr>
            </w:pPr>
            <w:r>
              <w:rPr>
                <w:rFonts w:asciiTheme="majorHAnsi" w:hAnsiTheme="majorHAnsi"/>
                <w:sz w:val="22"/>
              </w:rPr>
              <w:t>3 Months</w:t>
            </w:r>
          </w:p>
        </w:tc>
        <w:tc>
          <w:tcPr>
            <w:tcW w:w="3597" w:type="dxa"/>
          </w:tcPr>
          <w:p w:rsidR="00917EA1" w:rsidRDefault="00470CCD" w:rsidP="00682607">
            <w:pPr>
              <w:pStyle w:val="Default"/>
              <w:spacing w:after="120"/>
              <w:jc w:val="center"/>
              <w:rPr>
                <w:rFonts w:asciiTheme="majorHAnsi" w:hAnsiTheme="majorHAnsi"/>
                <w:sz w:val="22"/>
              </w:rPr>
            </w:pPr>
            <w:r>
              <w:rPr>
                <w:rFonts w:asciiTheme="majorHAnsi" w:hAnsiTheme="majorHAnsi"/>
                <w:sz w:val="22"/>
              </w:rPr>
              <w:t>3 Months</w:t>
            </w:r>
          </w:p>
        </w:tc>
      </w:tr>
      <w:tr w:rsidR="00470CCD" w:rsidTr="00470CCD">
        <w:tc>
          <w:tcPr>
            <w:tcW w:w="3596" w:type="dxa"/>
          </w:tcPr>
          <w:p w:rsidR="00917EA1" w:rsidRDefault="00470CCD" w:rsidP="00682607">
            <w:pPr>
              <w:pStyle w:val="Default"/>
              <w:spacing w:after="120"/>
              <w:jc w:val="center"/>
              <w:rPr>
                <w:rFonts w:asciiTheme="majorHAnsi" w:hAnsiTheme="majorHAnsi"/>
                <w:sz w:val="22"/>
              </w:rPr>
            </w:pPr>
            <w:r>
              <w:rPr>
                <w:rFonts w:asciiTheme="majorHAnsi" w:hAnsiTheme="majorHAnsi"/>
                <w:sz w:val="22"/>
              </w:rPr>
              <w:t>0 – 49.9%</w:t>
            </w:r>
          </w:p>
        </w:tc>
        <w:tc>
          <w:tcPr>
            <w:tcW w:w="3597" w:type="dxa"/>
          </w:tcPr>
          <w:p w:rsidR="00917EA1" w:rsidRDefault="00470CCD" w:rsidP="00682607">
            <w:pPr>
              <w:pStyle w:val="Default"/>
              <w:spacing w:after="120"/>
              <w:jc w:val="center"/>
              <w:rPr>
                <w:rFonts w:asciiTheme="majorHAnsi" w:hAnsiTheme="majorHAnsi"/>
                <w:sz w:val="22"/>
              </w:rPr>
            </w:pPr>
            <w:r>
              <w:rPr>
                <w:rFonts w:asciiTheme="majorHAnsi" w:hAnsiTheme="majorHAnsi"/>
                <w:sz w:val="22"/>
              </w:rPr>
              <w:t>30 Days</w:t>
            </w:r>
          </w:p>
        </w:tc>
        <w:tc>
          <w:tcPr>
            <w:tcW w:w="3597" w:type="dxa"/>
          </w:tcPr>
          <w:p w:rsidR="00917EA1" w:rsidRDefault="00470CCD" w:rsidP="00682607">
            <w:pPr>
              <w:pStyle w:val="Default"/>
              <w:spacing w:after="120"/>
              <w:jc w:val="center"/>
              <w:rPr>
                <w:rFonts w:asciiTheme="majorHAnsi" w:hAnsiTheme="majorHAnsi"/>
                <w:sz w:val="22"/>
              </w:rPr>
            </w:pPr>
            <w:r>
              <w:rPr>
                <w:rFonts w:asciiTheme="majorHAnsi" w:hAnsiTheme="majorHAnsi"/>
                <w:sz w:val="22"/>
              </w:rPr>
              <w:t>30 Days</w:t>
            </w:r>
          </w:p>
        </w:tc>
      </w:tr>
    </w:tbl>
    <w:p w:rsidR="00917EA1" w:rsidRDefault="00917EA1" w:rsidP="00BA1798">
      <w:pPr>
        <w:pStyle w:val="Default"/>
        <w:spacing w:after="120"/>
        <w:ind w:left="1080"/>
        <w:rPr>
          <w:rFonts w:asciiTheme="majorHAnsi" w:hAnsiTheme="majorHAnsi"/>
          <w:sz w:val="22"/>
        </w:rPr>
      </w:pPr>
    </w:p>
    <w:p w:rsidR="002A73ED" w:rsidRPr="002A73ED" w:rsidRDefault="009B3BB0" w:rsidP="00F633B8">
      <w:pPr>
        <w:pStyle w:val="Default"/>
        <w:numPr>
          <w:ilvl w:val="1"/>
          <w:numId w:val="13"/>
        </w:numPr>
        <w:spacing w:after="120"/>
        <w:ind w:left="1080"/>
        <w:rPr>
          <w:rFonts w:asciiTheme="majorHAnsi" w:hAnsiTheme="majorHAnsi"/>
          <w:sz w:val="22"/>
        </w:rPr>
      </w:pPr>
      <w:r>
        <w:rPr>
          <w:rFonts w:asciiTheme="majorHAnsi" w:hAnsiTheme="majorHAnsi"/>
          <w:sz w:val="22"/>
        </w:rPr>
        <w:t>The CHLAMG Compliance Department will conduct documentation, coding, and billing training for providers d</w:t>
      </w:r>
      <w:r w:rsidR="002A73ED" w:rsidRPr="002A73ED">
        <w:rPr>
          <w:rFonts w:asciiTheme="majorHAnsi" w:hAnsiTheme="majorHAnsi"/>
          <w:sz w:val="22"/>
        </w:rPr>
        <w:t>uring the period between initial and interval audits</w:t>
      </w:r>
      <w:r>
        <w:rPr>
          <w:rFonts w:asciiTheme="majorHAnsi" w:hAnsiTheme="majorHAnsi"/>
          <w:sz w:val="22"/>
        </w:rPr>
        <w:t xml:space="preserve"> and cover</w:t>
      </w:r>
      <w:r w:rsidR="002A73ED" w:rsidRPr="002A73ED">
        <w:rPr>
          <w:rFonts w:asciiTheme="majorHAnsi" w:hAnsiTheme="majorHAnsi"/>
          <w:sz w:val="22"/>
        </w:rPr>
        <w:t xml:space="preserve"> deficiencies</w:t>
      </w:r>
      <w:r>
        <w:rPr>
          <w:rFonts w:asciiTheme="majorHAnsi" w:hAnsiTheme="majorHAnsi"/>
          <w:sz w:val="22"/>
        </w:rPr>
        <w:t xml:space="preserve"> Compliance identifies from audits</w:t>
      </w:r>
      <w:r w:rsidR="002A73ED" w:rsidRPr="002A73ED">
        <w:rPr>
          <w:rFonts w:asciiTheme="majorHAnsi" w:hAnsiTheme="majorHAnsi"/>
          <w:sz w:val="22"/>
        </w:rPr>
        <w:t xml:space="preserve">.  </w:t>
      </w:r>
      <w:r>
        <w:rPr>
          <w:rFonts w:asciiTheme="majorHAnsi" w:hAnsiTheme="majorHAnsi"/>
          <w:sz w:val="22"/>
        </w:rPr>
        <w:t>If the Compliance Department gives providers i</w:t>
      </w:r>
      <w:r w:rsidR="002A73ED" w:rsidRPr="002A73ED">
        <w:rPr>
          <w:rFonts w:asciiTheme="majorHAnsi" w:hAnsiTheme="majorHAnsi"/>
          <w:sz w:val="22"/>
        </w:rPr>
        <w:t>nitial compliance ratings less than 90%</w:t>
      </w:r>
      <w:r>
        <w:rPr>
          <w:rFonts w:asciiTheme="majorHAnsi" w:hAnsiTheme="majorHAnsi"/>
          <w:sz w:val="22"/>
        </w:rPr>
        <w:t xml:space="preserve">, Compliance </w:t>
      </w:r>
      <w:r w:rsidRPr="00B102C0">
        <w:rPr>
          <w:rFonts w:asciiTheme="majorHAnsi" w:hAnsiTheme="majorHAnsi"/>
          <w:color w:val="auto"/>
          <w:sz w:val="22"/>
        </w:rPr>
        <w:t>will perform</w:t>
      </w:r>
      <w:r w:rsidR="002A73ED" w:rsidRPr="00B102C0">
        <w:rPr>
          <w:rFonts w:asciiTheme="majorHAnsi" w:hAnsiTheme="majorHAnsi"/>
          <w:color w:val="auto"/>
          <w:sz w:val="22"/>
        </w:rPr>
        <w:t xml:space="preserve"> </w:t>
      </w:r>
      <w:r w:rsidR="002A73ED" w:rsidRPr="002A73ED">
        <w:rPr>
          <w:rFonts w:asciiTheme="majorHAnsi" w:hAnsiTheme="majorHAnsi"/>
          <w:sz w:val="22"/>
        </w:rPr>
        <w:t xml:space="preserve">interval spot audit of two cases per deficiency at the </w:t>
      </w:r>
      <w:r w:rsidR="00470CCD">
        <w:rPr>
          <w:rFonts w:asciiTheme="majorHAnsi" w:hAnsiTheme="majorHAnsi"/>
          <w:sz w:val="22"/>
        </w:rPr>
        <w:t>interval indicated above</w:t>
      </w:r>
      <w:r w:rsidR="002A73ED" w:rsidRPr="002A73ED">
        <w:rPr>
          <w:rFonts w:asciiTheme="majorHAnsi" w:hAnsiTheme="majorHAnsi"/>
          <w:sz w:val="22"/>
        </w:rPr>
        <w:t xml:space="preserve">.  Providers must obtain a 100% compliance rating on the interval audit in order to return to the annual audit schedule.  </w:t>
      </w:r>
    </w:p>
    <w:p w:rsidR="002A73ED" w:rsidRPr="002A73ED" w:rsidRDefault="002A73ED" w:rsidP="00F633B8">
      <w:pPr>
        <w:pStyle w:val="Default"/>
        <w:numPr>
          <w:ilvl w:val="1"/>
          <w:numId w:val="13"/>
        </w:numPr>
        <w:spacing w:after="120"/>
        <w:ind w:left="1080"/>
        <w:rPr>
          <w:rFonts w:asciiTheme="majorHAnsi" w:hAnsiTheme="majorHAnsi"/>
          <w:sz w:val="22"/>
        </w:rPr>
      </w:pPr>
      <w:r w:rsidRPr="002A73ED">
        <w:rPr>
          <w:rFonts w:asciiTheme="majorHAnsi" w:hAnsiTheme="majorHAnsi"/>
          <w:sz w:val="22"/>
        </w:rPr>
        <w:t>Providers who do not obtain the required 100% compliance rating on the interval audit will attend an administrative compliance meeting with the CHLAMG compliance director and division head to review the corrective</w:t>
      </w:r>
      <w:r w:rsidR="00055B8A">
        <w:rPr>
          <w:rFonts w:asciiTheme="majorHAnsi" w:hAnsiTheme="majorHAnsi"/>
          <w:sz w:val="22"/>
        </w:rPr>
        <w:t xml:space="preserve"> action plan.  The provider may</w:t>
      </w:r>
      <w:r w:rsidRPr="002A73ED">
        <w:rPr>
          <w:rFonts w:asciiTheme="majorHAnsi" w:hAnsiTheme="majorHAnsi"/>
          <w:sz w:val="22"/>
        </w:rPr>
        <w:t xml:space="preserve"> then undergo a second interval audit of two cases per deficiency within 2-4 weeks of the administrative compliance meeting.  If </w:t>
      </w:r>
      <w:r w:rsidR="009B3BB0">
        <w:rPr>
          <w:rFonts w:asciiTheme="majorHAnsi" w:hAnsiTheme="majorHAnsi"/>
          <w:sz w:val="22"/>
        </w:rPr>
        <w:t>providers do not achieve the</w:t>
      </w:r>
      <w:r w:rsidRPr="002A73ED">
        <w:rPr>
          <w:rFonts w:asciiTheme="majorHAnsi" w:hAnsiTheme="majorHAnsi"/>
          <w:sz w:val="22"/>
        </w:rPr>
        <w:t xml:space="preserve"> 100% compliance rating </w:t>
      </w:r>
      <w:r w:rsidR="009B3BB0">
        <w:rPr>
          <w:rFonts w:asciiTheme="majorHAnsi" w:hAnsiTheme="majorHAnsi"/>
          <w:sz w:val="22"/>
        </w:rPr>
        <w:t>after the second interval audit</w:t>
      </w:r>
      <w:r w:rsidRPr="002A73ED">
        <w:rPr>
          <w:rFonts w:asciiTheme="majorHAnsi" w:hAnsiTheme="majorHAnsi"/>
          <w:sz w:val="22"/>
        </w:rPr>
        <w:t xml:space="preserve">, the </w:t>
      </w:r>
      <w:r w:rsidR="009B3BB0">
        <w:rPr>
          <w:rFonts w:asciiTheme="majorHAnsi" w:hAnsiTheme="majorHAnsi"/>
          <w:sz w:val="22"/>
        </w:rPr>
        <w:t xml:space="preserve">Compliance Department will place the </w:t>
      </w:r>
      <w:r w:rsidRPr="002A73ED">
        <w:rPr>
          <w:rFonts w:asciiTheme="majorHAnsi" w:hAnsiTheme="majorHAnsi"/>
          <w:sz w:val="22"/>
        </w:rPr>
        <w:t xml:space="preserve">provider’s claims on a pre-billing hold and an external firm </w:t>
      </w:r>
      <w:r w:rsidR="009B3BB0">
        <w:rPr>
          <w:rFonts w:asciiTheme="majorHAnsi" w:hAnsiTheme="majorHAnsi"/>
          <w:sz w:val="22"/>
        </w:rPr>
        <w:t xml:space="preserve">will </w:t>
      </w:r>
      <w:r w:rsidR="00917EA1">
        <w:rPr>
          <w:rFonts w:asciiTheme="majorHAnsi" w:hAnsiTheme="majorHAnsi"/>
          <w:sz w:val="22"/>
        </w:rPr>
        <w:t>audit</w:t>
      </w:r>
      <w:r w:rsidR="00BA1798">
        <w:rPr>
          <w:rFonts w:asciiTheme="majorHAnsi" w:hAnsiTheme="majorHAnsi"/>
          <w:sz w:val="22"/>
        </w:rPr>
        <w:t xml:space="preserve"> </w:t>
      </w:r>
      <w:r w:rsidR="009B3BB0">
        <w:rPr>
          <w:rFonts w:asciiTheme="majorHAnsi" w:hAnsiTheme="majorHAnsi"/>
          <w:sz w:val="22"/>
        </w:rPr>
        <w:t xml:space="preserve">the provider’s claims </w:t>
      </w:r>
      <w:r w:rsidRPr="002A73ED">
        <w:rPr>
          <w:rFonts w:asciiTheme="majorHAnsi" w:hAnsiTheme="majorHAnsi"/>
          <w:sz w:val="22"/>
        </w:rPr>
        <w:t xml:space="preserve">at the division’s expense until the provider achieves and sustains a 100% compliance rating.  The ECC and/or department/division head may elect to suspend the provider’s billing privileges in lieu of external audit, or implement more stringent corrective action. </w:t>
      </w:r>
    </w:p>
    <w:p w:rsidR="002A73ED" w:rsidRDefault="002506E4" w:rsidP="00F633B8">
      <w:pPr>
        <w:pStyle w:val="Default"/>
        <w:numPr>
          <w:ilvl w:val="1"/>
          <w:numId w:val="13"/>
        </w:numPr>
        <w:spacing w:after="120"/>
        <w:ind w:left="1080"/>
        <w:rPr>
          <w:rFonts w:asciiTheme="majorHAnsi" w:hAnsiTheme="majorHAnsi"/>
          <w:sz w:val="22"/>
        </w:rPr>
      </w:pPr>
      <w:r>
        <w:rPr>
          <w:rFonts w:asciiTheme="majorHAnsi" w:hAnsiTheme="majorHAnsi"/>
          <w:sz w:val="22"/>
        </w:rPr>
        <w:t>The Compliance Department will report a</w:t>
      </w:r>
      <w:r w:rsidR="002A73ED" w:rsidRPr="002A73ED">
        <w:rPr>
          <w:rFonts w:asciiTheme="majorHAnsi" w:hAnsiTheme="majorHAnsi"/>
          <w:sz w:val="22"/>
        </w:rPr>
        <w:t xml:space="preserve">ll activities related to compliance audit, education, </w:t>
      </w:r>
      <w:r w:rsidR="00B04852">
        <w:rPr>
          <w:rFonts w:asciiTheme="majorHAnsi" w:hAnsiTheme="majorHAnsi"/>
          <w:sz w:val="22"/>
        </w:rPr>
        <w:t xml:space="preserve">and </w:t>
      </w:r>
      <w:r w:rsidR="002A73ED" w:rsidRPr="002A73ED">
        <w:rPr>
          <w:rFonts w:asciiTheme="majorHAnsi" w:hAnsiTheme="majorHAnsi"/>
          <w:sz w:val="22"/>
        </w:rPr>
        <w:t xml:space="preserve">monitoring, or corrective action to the CHLAMG board of directors.  </w:t>
      </w:r>
    </w:p>
    <w:p w:rsidR="00D75F7A" w:rsidRPr="00DC4602" w:rsidRDefault="00D75F7A" w:rsidP="00F633B8">
      <w:pPr>
        <w:shd w:val="clear" w:color="auto" w:fill="FFFFFF" w:themeFill="background1"/>
        <w:jc w:val="both"/>
        <w:rPr>
          <w:rFonts w:asciiTheme="majorHAnsi" w:hAnsiTheme="majorHAnsi"/>
          <w:sz w:val="28"/>
        </w:rPr>
      </w:pPr>
    </w:p>
    <w:sectPr w:rsidR="00D75F7A" w:rsidRPr="00DC4602" w:rsidSect="00A820CC">
      <w:headerReference w:type="default" r:id="rId7"/>
      <w:footerReference w:type="default" r:id="rId8"/>
      <w:headerReference w:type="first" r:id="rId9"/>
      <w:footerReference w:type="first" r:id="rId10"/>
      <w:pgSz w:w="12240" w:h="15840"/>
      <w:pgMar w:top="720" w:right="720" w:bottom="720" w:left="720" w:header="72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AF4" w:rsidRDefault="00F60AF4">
      <w:r>
        <w:separator/>
      </w:r>
    </w:p>
  </w:endnote>
  <w:endnote w:type="continuationSeparator" w:id="0">
    <w:p w:rsidR="00F60AF4" w:rsidRDefault="00F6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636" w:rsidRPr="00E43585" w:rsidRDefault="00826FF3" w:rsidP="00682607">
    <w:pPr>
      <w:pStyle w:val="Footer"/>
      <w:tabs>
        <w:tab w:val="left" w:pos="3975"/>
        <w:tab w:val="center" w:pos="5760"/>
      </w:tabs>
      <w:ind w:left="720"/>
      <w:jc w:val="right"/>
      <w:rPr>
        <w:sz w:val="20"/>
      </w:rPr>
    </w:pPr>
    <w:r>
      <w:rPr>
        <w:sz w:val="20"/>
      </w:rPr>
      <w:tab/>
    </w:r>
    <w:r>
      <w:rPr>
        <w:sz w:val="20"/>
      </w:rPr>
      <w:tab/>
    </w:r>
    <w:r w:rsidR="00C67636" w:rsidRPr="00E43585">
      <w:rPr>
        <w:sz w:val="20"/>
      </w:rPr>
      <w:t xml:space="preserve">Compliance Audit Protocol | Page </w:t>
    </w:r>
    <w:r w:rsidR="00C67636" w:rsidRPr="00E43585">
      <w:rPr>
        <w:sz w:val="20"/>
      </w:rPr>
      <w:fldChar w:fldCharType="begin"/>
    </w:r>
    <w:r w:rsidR="00C67636" w:rsidRPr="00E43585">
      <w:rPr>
        <w:sz w:val="20"/>
      </w:rPr>
      <w:instrText xml:space="preserve"> PAGE   \* MERGEFORMAT </w:instrText>
    </w:r>
    <w:r w:rsidR="00C67636" w:rsidRPr="00E43585">
      <w:rPr>
        <w:sz w:val="20"/>
      </w:rPr>
      <w:fldChar w:fldCharType="separate"/>
    </w:r>
    <w:r w:rsidR="0091222C">
      <w:rPr>
        <w:noProof/>
        <w:sz w:val="20"/>
      </w:rPr>
      <w:t>2</w:t>
    </w:r>
    <w:r w:rsidR="00C67636" w:rsidRPr="00E43585">
      <w:rPr>
        <w:sz w:val="20"/>
      </w:rPr>
      <w:fldChar w:fldCharType="end"/>
    </w:r>
    <w:r w:rsidR="00C67636" w:rsidRPr="00E43585">
      <w:rPr>
        <w:sz w:val="20"/>
      </w:rPr>
      <w:t xml:space="preserve"> of </w:t>
    </w:r>
    <w:r w:rsidR="00C67636" w:rsidRPr="00E43585">
      <w:rPr>
        <w:sz w:val="20"/>
      </w:rPr>
      <w:fldChar w:fldCharType="begin"/>
    </w:r>
    <w:r w:rsidR="00C67636" w:rsidRPr="00E43585">
      <w:rPr>
        <w:sz w:val="20"/>
      </w:rPr>
      <w:instrText xml:space="preserve"> NUMPAGES  \* Arabic  \* MERGEFORMAT </w:instrText>
    </w:r>
    <w:r w:rsidR="00C67636" w:rsidRPr="00E43585">
      <w:rPr>
        <w:sz w:val="20"/>
      </w:rPr>
      <w:fldChar w:fldCharType="separate"/>
    </w:r>
    <w:r w:rsidR="0091222C">
      <w:rPr>
        <w:noProof/>
        <w:sz w:val="20"/>
      </w:rPr>
      <w:t>2</w:t>
    </w:r>
    <w:r w:rsidR="00C67636" w:rsidRPr="00E43585">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636" w:rsidRPr="00E43585" w:rsidRDefault="00F26237" w:rsidP="008015EA">
    <w:pPr>
      <w:pStyle w:val="Footer"/>
      <w:jc w:val="right"/>
      <w:rPr>
        <w:sz w:val="20"/>
      </w:rPr>
    </w:pPr>
    <w:r>
      <w:rPr>
        <w:sz w:val="20"/>
      </w:rPr>
      <w:t xml:space="preserve">Compliance Audit Protocol </w:t>
    </w:r>
    <w:r w:rsidR="00C67636" w:rsidRPr="00E43585">
      <w:rPr>
        <w:sz w:val="20"/>
      </w:rPr>
      <w:t xml:space="preserve">Page </w:t>
    </w:r>
    <w:r w:rsidR="00C67636" w:rsidRPr="00E43585">
      <w:rPr>
        <w:sz w:val="20"/>
      </w:rPr>
      <w:fldChar w:fldCharType="begin"/>
    </w:r>
    <w:r w:rsidR="00C67636" w:rsidRPr="00E43585">
      <w:rPr>
        <w:sz w:val="20"/>
      </w:rPr>
      <w:instrText xml:space="preserve"> PAGE   \* MERGEFORMAT </w:instrText>
    </w:r>
    <w:r w:rsidR="00C67636" w:rsidRPr="00E43585">
      <w:rPr>
        <w:sz w:val="20"/>
      </w:rPr>
      <w:fldChar w:fldCharType="separate"/>
    </w:r>
    <w:r w:rsidR="0091222C">
      <w:rPr>
        <w:noProof/>
        <w:sz w:val="20"/>
      </w:rPr>
      <w:t>1</w:t>
    </w:r>
    <w:r w:rsidR="00C67636" w:rsidRPr="00E43585">
      <w:rPr>
        <w:sz w:val="20"/>
      </w:rPr>
      <w:fldChar w:fldCharType="end"/>
    </w:r>
    <w:r w:rsidR="00C67636" w:rsidRPr="00E43585">
      <w:rPr>
        <w:sz w:val="20"/>
      </w:rPr>
      <w:t xml:space="preserve">of </w:t>
    </w:r>
    <w:r w:rsidR="00C67636" w:rsidRPr="00E43585">
      <w:rPr>
        <w:sz w:val="20"/>
      </w:rPr>
      <w:fldChar w:fldCharType="begin"/>
    </w:r>
    <w:r w:rsidR="00C67636" w:rsidRPr="00E43585">
      <w:rPr>
        <w:sz w:val="20"/>
      </w:rPr>
      <w:instrText xml:space="preserve"> NUMPAGES  \* Arabic  \* MERGEFORMAT </w:instrText>
    </w:r>
    <w:r w:rsidR="00C67636" w:rsidRPr="00E43585">
      <w:rPr>
        <w:sz w:val="20"/>
      </w:rPr>
      <w:fldChar w:fldCharType="separate"/>
    </w:r>
    <w:r w:rsidR="0091222C">
      <w:rPr>
        <w:noProof/>
        <w:sz w:val="20"/>
      </w:rPr>
      <w:t>2</w:t>
    </w:r>
    <w:r w:rsidR="00C67636" w:rsidRPr="00E43585">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AF4" w:rsidRDefault="00F60AF4">
      <w:r>
        <w:separator/>
      </w:r>
    </w:p>
  </w:footnote>
  <w:footnote w:type="continuationSeparator" w:id="0">
    <w:p w:rsidR="00F60AF4" w:rsidRDefault="00F60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636" w:rsidRDefault="00C67636" w:rsidP="00BE2510">
    <w:pPr>
      <w:pStyle w:val="Header"/>
      <w:ind w:left="2880" w:firstLine="3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636" w:rsidRDefault="00C67636" w:rsidP="006D46F1">
    <w:pPr>
      <w:pStyle w:val="Header"/>
      <w:ind w:left="2880" w:firstLine="3600"/>
      <w:jc w:val="center"/>
      <w:rPr>
        <w:rFonts w:ascii="Garamond" w:hAnsi="Garamond"/>
        <w:sz w:val="28"/>
        <w:szCs w:val="28"/>
      </w:rPr>
    </w:pPr>
  </w:p>
  <w:p w:rsidR="00C67636" w:rsidRPr="00DC4602" w:rsidRDefault="00C67636" w:rsidP="006D46F1">
    <w:pPr>
      <w:jc w:val="center"/>
      <w:rPr>
        <w:rFonts w:asciiTheme="minorHAnsi" w:hAnsiTheme="minorHAnsi" w:cstheme="minorHAnsi"/>
        <w:smallCaps/>
        <w:sz w:val="28"/>
        <w:szCs w:val="28"/>
      </w:rPr>
    </w:pPr>
    <w:r w:rsidRPr="00DC4602">
      <w:rPr>
        <w:rFonts w:asciiTheme="minorHAnsi" w:hAnsiTheme="minorHAnsi" w:cstheme="minorHAnsi"/>
        <w:b/>
        <w:smallCaps/>
        <w:sz w:val="28"/>
        <w:szCs w:val="28"/>
        <w:u w:val="single"/>
      </w:rPr>
      <w:t>Children’s Hospital Los Angeles Medical Group</w:t>
    </w:r>
  </w:p>
  <w:p w:rsidR="00C67636" w:rsidRPr="00DC4602" w:rsidRDefault="00C67636" w:rsidP="006D46F1">
    <w:pPr>
      <w:jc w:val="center"/>
      <w:rPr>
        <w:rFonts w:asciiTheme="minorHAnsi" w:hAnsiTheme="minorHAnsi" w:cstheme="minorHAnsi"/>
        <w:b/>
        <w:smallCaps/>
      </w:rPr>
    </w:pPr>
    <w:r w:rsidRPr="00DC4602">
      <w:rPr>
        <w:rFonts w:asciiTheme="minorHAnsi" w:hAnsiTheme="minorHAnsi" w:cstheme="minorHAnsi"/>
        <w:b/>
        <w:smallCaps/>
      </w:rPr>
      <w:t>Compliance Policy Manual</w:t>
    </w:r>
  </w:p>
  <w:p w:rsidR="00C67636" w:rsidRDefault="00C67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BEB"/>
    <w:multiLevelType w:val="hybridMultilevel"/>
    <w:tmpl w:val="F6B88636"/>
    <w:lvl w:ilvl="0" w:tplc="794E00A6">
      <w:start w:val="1"/>
      <w:numFmt w:val="bullet"/>
      <w:lvlText w:val=""/>
      <w:lvlJc w:val="left"/>
      <w:pPr>
        <w:tabs>
          <w:tab w:val="num" w:pos="1080"/>
        </w:tabs>
        <w:ind w:left="1080" w:hanging="360"/>
      </w:pPr>
      <w:rPr>
        <w:rFonts w:ascii="Wingdings" w:hAnsi="Wingdings"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A75F9"/>
    <w:multiLevelType w:val="hybridMultilevel"/>
    <w:tmpl w:val="2ABE16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B10A09"/>
    <w:multiLevelType w:val="hybridMultilevel"/>
    <w:tmpl w:val="B8FC153E"/>
    <w:lvl w:ilvl="0" w:tplc="CA862E1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54FA8"/>
    <w:multiLevelType w:val="hybridMultilevel"/>
    <w:tmpl w:val="938288FA"/>
    <w:lvl w:ilvl="0" w:tplc="DBA4D1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F6112"/>
    <w:multiLevelType w:val="hybridMultilevel"/>
    <w:tmpl w:val="F230D2C8"/>
    <w:lvl w:ilvl="0" w:tplc="60BEE10A">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rPr>
        <w:rFonts w:hint="default"/>
      </w:rPr>
    </w:lvl>
  </w:abstractNum>
  <w:abstractNum w:abstractNumId="5" w15:restartNumberingAfterBreak="0">
    <w:nsid w:val="36AB7B26"/>
    <w:multiLevelType w:val="multilevel"/>
    <w:tmpl w:val="52D423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FC05D80"/>
    <w:multiLevelType w:val="hybridMultilevel"/>
    <w:tmpl w:val="6896BE9E"/>
    <w:lvl w:ilvl="0" w:tplc="8DD8216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40088C"/>
    <w:multiLevelType w:val="hybridMultilevel"/>
    <w:tmpl w:val="0992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74CB0"/>
    <w:multiLevelType w:val="hybridMultilevel"/>
    <w:tmpl w:val="7AFC8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F70A01"/>
    <w:multiLevelType w:val="hybridMultilevel"/>
    <w:tmpl w:val="05724ABC"/>
    <w:lvl w:ilvl="0" w:tplc="CA8020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D15670"/>
    <w:multiLevelType w:val="hybridMultilevel"/>
    <w:tmpl w:val="930A60F8"/>
    <w:lvl w:ilvl="0" w:tplc="794E00A6">
      <w:start w:val="1"/>
      <w:numFmt w:val="bullet"/>
      <w:lvlText w:val=""/>
      <w:lvlJc w:val="left"/>
      <w:pPr>
        <w:tabs>
          <w:tab w:val="num" w:pos="1080"/>
        </w:tabs>
        <w:ind w:left="1080" w:hanging="360"/>
      </w:pPr>
      <w:rPr>
        <w:rFonts w:ascii="Wingdings" w:hAnsi="Wingdings" w:hint="default"/>
        <w:color w:val="auto"/>
        <w:sz w:val="32"/>
        <w:szCs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8AF4395"/>
    <w:multiLevelType w:val="multilevel"/>
    <w:tmpl w:val="E1A2B7B0"/>
    <w:lvl w:ilvl="0">
      <w:start w:val="1"/>
      <w:numFmt w:val="decimal"/>
      <w:lvlText w:val="%1.0"/>
      <w:lvlJc w:val="left"/>
      <w:pPr>
        <w:ind w:left="99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590"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190" w:hanging="1800"/>
      </w:pPr>
      <w:rPr>
        <w:rFonts w:hint="default"/>
      </w:rPr>
    </w:lvl>
  </w:abstractNum>
  <w:abstractNum w:abstractNumId="12" w15:restartNumberingAfterBreak="0">
    <w:nsid w:val="6AA45D30"/>
    <w:multiLevelType w:val="hybridMultilevel"/>
    <w:tmpl w:val="1C2655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7C7A74"/>
    <w:multiLevelType w:val="hybridMultilevel"/>
    <w:tmpl w:val="F230D2C8"/>
    <w:lvl w:ilvl="0" w:tplc="60BEE10A">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rPr>
        <w:rFonts w:hint="default"/>
      </w:rPr>
    </w:lvl>
  </w:abstractNum>
  <w:abstractNum w:abstractNumId="14" w15:restartNumberingAfterBreak="0">
    <w:nsid w:val="7E7C31CD"/>
    <w:multiLevelType w:val="hybridMultilevel"/>
    <w:tmpl w:val="FD66D340"/>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7"/>
  </w:num>
  <w:num w:numId="5">
    <w:abstractNumId w:val="5"/>
  </w:num>
  <w:num w:numId="6">
    <w:abstractNumId w:val="11"/>
  </w:num>
  <w:num w:numId="7">
    <w:abstractNumId w:val="9"/>
  </w:num>
  <w:num w:numId="8">
    <w:abstractNumId w:val="6"/>
  </w:num>
  <w:num w:numId="9">
    <w:abstractNumId w:val="12"/>
  </w:num>
  <w:num w:numId="10">
    <w:abstractNumId w:val="1"/>
  </w:num>
  <w:num w:numId="11">
    <w:abstractNumId w:val="8"/>
  </w:num>
  <w:num w:numId="12">
    <w:abstractNumId w:val="4"/>
  </w:num>
  <w:num w:numId="13">
    <w:abstractNumId w:val="1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10"/>
    <w:rsid w:val="000046D8"/>
    <w:rsid w:val="00055B8A"/>
    <w:rsid w:val="0006706D"/>
    <w:rsid w:val="0008139F"/>
    <w:rsid w:val="000B072F"/>
    <w:rsid w:val="000D396E"/>
    <w:rsid w:val="000D634C"/>
    <w:rsid w:val="000E0E4A"/>
    <w:rsid w:val="000F3C8A"/>
    <w:rsid w:val="00136DB7"/>
    <w:rsid w:val="00143148"/>
    <w:rsid w:val="001A3CC6"/>
    <w:rsid w:val="001F423D"/>
    <w:rsid w:val="001F73A0"/>
    <w:rsid w:val="00222EAB"/>
    <w:rsid w:val="0022686B"/>
    <w:rsid w:val="0024259E"/>
    <w:rsid w:val="002506E4"/>
    <w:rsid w:val="0025523D"/>
    <w:rsid w:val="002A73ED"/>
    <w:rsid w:val="002C2DE5"/>
    <w:rsid w:val="002C4A89"/>
    <w:rsid w:val="002F5B67"/>
    <w:rsid w:val="00304FC9"/>
    <w:rsid w:val="00382063"/>
    <w:rsid w:val="003B3194"/>
    <w:rsid w:val="003D4249"/>
    <w:rsid w:val="003F6BBB"/>
    <w:rsid w:val="00470CCD"/>
    <w:rsid w:val="004F15FA"/>
    <w:rsid w:val="00593801"/>
    <w:rsid w:val="0061078D"/>
    <w:rsid w:val="006326FA"/>
    <w:rsid w:val="00644DBF"/>
    <w:rsid w:val="006660CA"/>
    <w:rsid w:val="0067471E"/>
    <w:rsid w:val="00682607"/>
    <w:rsid w:val="006A23D5"/>
    <w:rsid w:val="006A7668"/>
    <w:rsid w:val="006B253A"/>
    <w:rsid w:val="006D46F1"/>
    <w:rsid w:val="006D55F8"/>
    <w:rsid w:val="006F4774"/>
    <w:rsid w:val="00702696"/>
    <w:rsid w:val="00715A8C"/>
    <w:rsid w:val="00744A50"/>
    <w:rsid w:val="008015EA"/>
    <w:rsid w:val="0082396F"/>
    <w:rsid w:val="00826FF3"/>
    <w:rsid w:val="00844882"/>
    <w:rsid w:val="008617BA"/>
    <w:rsid w:val="008B3423"/>
    <w:rsid w:val="008D29C4"/>
    <w:rsid w:val="00901C5F"/>
    <w:rsid w:val="0091222C"/>
    <w:rsid w:val="00917EA1"/>
    <w:rsid w:val="009314D6"/>
    <w:rsid w:val="009331BA"/>
    <w:rsid w:val="009B3BB0"/>
    <w:rsid w:val="009E1E82"/>
    <w:rsid w:val="00A01D89"/>
    <w:rsid w:val="00A135A4"/>
    <w:rsid w:val="00A163B3"/>
    <w:rsid w:val="00A8035A"/>
    <w:rsid w:val="00A820CC"/>
    <w:rsid w:val="00A87A35"/>
    <w:rsid w:val="00AC5EE3"/>
    <w:rsid w:val="00AF7406"/>
    <w:rsid w:val="00B04852"/>
    <w:rsid w:val="00B102C0"/>
    <w:rsid w:val="00B335CB"/>
    <w:rsid w:val="00BA1798"/>
    <w:rsid w:val="00BB74EE"/>
    <w:rsid w:val="00BE2510"/>
    <w:rsid w:val="00C055AA"/>
    <w:rsid w:val="00C12F38"/>
    <w:rsid w:val="00C27D3E"/>
    <w:rsid w:val="00C549FA"/>
    <w:rsid w:val="00C67636"/>
    <w:rsid w:val="00CA4E43"/>
    <w:rsid w:val="00CB3643"/>
    <w:rsid w:val="00CC09F8"/>
    <w:rsid w:val="00D75F7A"/>
    <w:rsid w:val="00DA7061"/>
    <w:rsid w:val="00DC4602"/>
    <w:rsid w:val="00DD65C6"/>
    <w:rsid w:val="00DF5A30"/>
    <w:rsid w:val="00E43585"/>
    <w:rsid w:val="00E71602"/>
    <w:rsid w:val="00E9191B"/>
    <w:rsid w:val="00E9329A"/>
    <w:rsid w:val="00F26237"/>
    <w:rsid w:val="00F54040"/>
    <w:rsid w:val="00F60AF4"/>
    <w:rsid w:val="00F633B8"/>
    <w:rsid w:val="00F85399"/>
    <w:rsid w:val="00F943B2"/>
    <w:rsid w:val="00FB090B"/>
    <w:rsid w:val="00FB1278"/>
    <w:rsid w:val="00FB6811"/>
    <w:rsid w:val="00FB7DAC"/>
    <w:rsid w:val="00FC2145"/>
    <w:rsid w:val="00FC4F05"/>
    <w:rsid w:val="00FC606C"/>
    <w:rsid w:val="00FD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50184C-8301-4B4A-919B-32401B92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510"/>
    <w:pPr>
      <w:tabs>
        <w:tab w:val="center" w:pos="4320"/>
        <w:tab w:val="right" w:pos="8640"/>
      </w:tabs>
    </w:pPr>
  </w:style>
  <w:style w:type="paragraph" w:styleId="Footer">
    <w:name w:val="footer"/>
    <w:basedOn w:val="Normal"/>
    <w:rsid w:val="00BE2510"/>
    <w:pPr>
      <w:tabs>
        <w:tab w:val="center" w:pos="4320"/>
        <w:tab w:val="right" w:pos="8640"/>
      </w:tabs>
    </w:pPr>
  </w:style>
  <w:style w:type="paragraph" w:customStyle="1" w:styleId="Default">
    <w:name w:val="Default"/>
    <w:rsid w:val="00304FC9"/>
    <w:pPr>
      <w:autoSpaceDE w:val="0"/>
      <w:autoSpaceDN w:val="0"/>
      <w:adjustRightInd w:val="0"/>
    </w:pPr>
    <w:rPr>
      <w:rFonts w:ascii="Frutiger 55 Roman" w:eastAsia="Calibri" w:hAnsi="Frutiger 55 Roman" w:cs="Frutiger 55 Roman"/>
      <w:color w:val="000000"/>
      <w:sz w:val="24"/>
      <w:szCs w:val="24"/>
    </w:rPr>
  </w:style>
  <w:style w:type="paragraph" w:customStyle="1" w:styleId="Pa4">
    <w:name w:val="Pa4"/>
    <w:basedOn w:val="Default"/>
    <w:next w:val="Default"/>
    <w:uiPriority w:val="99"/>
    <w:rsid w:val="00304FC9"/>
    <w:pPr>
      <w:spacing w:line="201" w:lineRule="atLeast"/>
    </w:pPr>
    <w:rPr>
      <w:rFonts w:cs="Times New Roman"/>
      <w:color w:val="auto"/>
    </w:rPr>
  </w:style>
  <w:style w:type="character" w:customStyle="1" w:styleId="A6">
    <w:name w:val="A6"/>
    <w:uiPriority w:val="99"/>
    <w:rsid w:val="00304FC9"/>
    <w:rPr>
      <w:rFonts w:ascii="Frutiger 45 Light" w:hAnsi="Frutiger 45 Light" w:cs="Frutiger 45 Light"/>
      <w:color w:val="000000"/>
      <w:sz w:val="20"/>
      <w:szCs w:val="20"/>
    </w:rPr>
  </w:style>
  <w:style w:type="paragraph" w:customStyle="1" w:styleId="Pa10">
    <w:name w:val="Pa10"/>
    <w:basedOn w:val="Default"/>
    <w:next w:val="Default"/>
    <w:uiPriority w:val="99"/>
    <w:rsid w:val="00304FC9"/>
    <w:pPr>
      <w:spacing w:line="201" w:lineRule="atLeast"/>
    </w:pPr>
    <w:rPr>
      <w:rFonts w:cs="Times New Roman"/>
      <w:color w:val="auto"/>
    </w:rPr>
  </w:style>
  <w:style w:type="paragraph" w:customStyle="1" w:styleId="Pa17">
    <w:name w:val="Pa17"/>
    <w:basedOn w:val="Default"/>
    <w:next w:val="Default"/>
    <w:uiPriority w:val="99"/>
    <w:rsid w:val="00304FC9"/>
    <w:pPr>
      <w:spacing w:line="201" w:lineRule="atLeast"/>
    </w:pPr>
    <w:rPr>
      <w:rFonts w:cs="Times New Roman"/>
      <w:color w:val="auto"/>
    </w:rPr>
  </w:style>
  <w:style w:type="character" w:styleId="CommentReference">
    <w:name w:val="annotation reference"/>
    <w:rsid w:val="00FB7DAC"/>
    <w:rPr>
      <w:sz w:val="16"/>
      <w:szCs w:val="16"/>
    </w:rPr>
  </w:style>
  <w:style w:type="paragraph" w:styleId="CommentText">
    <w:name w:val="annotation text"/>
    <w:basedOn w:val="Normal"/>
    <w:link w:val="CommentTextChar"/>
    <w:rsid w:val="00FB7DAC"/>
    <w:rPr>
      <w:sz w:val="20"/>
      <w:szCs w:val="20"/>
    </w:rPr>
  </w:style>
  <w:style w:type="character" w:customStyle="1" w:styleId="CommentTextChar">
    <w:name w:val="Comment Text Char"/>
    <w:basedOn w:val="DefaultParagraphFont"/>
    <w:link w:val="CommentText"/>
    <w:rsid w:val="00FB7DAC"/>
  </w:style>
  <w:style w:type="paragraph" w:styleId="CommentSubject">
    <w:name w:val="annotation subject"/>
    <w:basedOn w:val="CommentText"/>
    <w:next w:val="CommentText"/>
    <w:link w:val="CommentSubjectChar"/>
    <w:rsid w:val="00FB7DAC"/>
    <w:rPr>
      <w:b/>
      <w:bCs/>
    </w:rPr>
  </w:style>
  <w:style w:type="character" w:customStyle="1" w:styleId="CommentSubjectChar">
    <w:name w:val="Comment Subject Char"/>
    <w:link w:val="CommentSubject"/>
    <w:rsid w:val="00FB7DAC"/>
    <w:rPr>
      <w:b/>
      <w:bCs/>
    </w:rPr>
  </w:style>
  <w:style w:type="paragraph" w:styleId="BalloonText">
    <w:name w:val="Balloon Text"/>
    <w:basedOn w:val="Normal"/>
    <w:link w:val="BalloonTextChar"/>
    <w:rsid w:val="00FB7DAC"/>
    <w:rPr>
      <w:rFonts w:ascii="Segoe UI" w:hAnsi="Segoe UI" w:cs="Segoe UI"/>
      <w:sz w:val="18"/>
      <w:szCs w:val="18"/>
    </w:rPr>
  </w:style>
  <w:style w:type="character" w:customStyle="1" w:styleId="BalloonTextChar">
    <w:name w:val="Balloon Text Char"/>
    <w:link w:val="BalloonText"/>
    <w:rsid w:val="00FB7DAC"/>
    <w:rPr>
      <w:rFonts w:ascii="Segoe UI" w:hAnsi="Segoe UI" w:cs="Segoe UI"/>
      <w:sz w:val="18"/>
      <w:szCs w:val="18"/>
    </w:rPr>
  </w:style>
  <w:style w:type="table" w:styleId="TableGrid">
    <w:name w:val="Table Grid"/>
    <w:basedOn w:val="TableNormal"/>
    <w:rsid w:val="000E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2A73ED"/>
    <w:rPr>
      <w:sz w:val="24"/>
      <w:szCs w:val="24"/>
    </w:rPr>
  </w:style>
  <w:style w:type="paragraph" w:styleId="NoSpacing">
    <w:name w:val="No Spacing"/>
    <w:uiPriority w:val="1"/>
    <w:qFormat/>
    <w:rsid w:val="002A73ED"/>
    <w:rPr>
      <w:sz w:val="24"/>
      <w:szCs w:val="24"/>
    </w:rPr>
  </w:style>
  <w:style w:type="table" w:styleId="LightList">
    <w:name w:val="Light List"/>
    <w:basedOn w:val="TableNormal"/>
    <w:uiPriority w:val="61"/>
    <w:rsid w:val="002A73ED"/>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liance P&amp;P">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Troklus, Jeffrey</cp:lastModifiedBy>
  <cp:revision>33</cp:revision>
  <cp:lastPrinted>2017-03-07T23:44:00Z</cp:lastPrinted>
  <dcterms:created xsi:type="dcterms:W3CDTF">2018-05-06T19:43:00Z</dcterms:created>
  <dcterms:modified xsi:type="dcterms:W3CDTF">2018-09-20T21:10:00Z</dcterms:modified>
</cp:coreProperties>
</file>