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9614"/>
      </w:tblGrid>
      <w:tr w:rsidR="000E0E4A" w:rsidRPr="00DC4602" w:rsidTr="00DC4602">
        <w:tc>
          <w:tcPr>
            <w:tcW w:w="1188" w:type="dxa"/>
            <w:tcBorders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E0E4A" w:rsidRPr="00DC4602" w:rsidRDefault="000E0E4A" w:rsidP="00BE2510">
            <w:pPr>
              <w:rPr>
                <w:rFonts w:asciiTheme="minorHAnsi" w:hAnsiTheme="minorHAnsi" w:cstheme="minorHAnsi"/>
                <w:b/>
                <w:smallCaps/>
                <w:sz w:val="22"/>
              </w:rPr>
            </w:pPr>
            <w:bookmarkStart w:id="0" w:name="_GoBack" w:colFirst="1" w:colLast="1"/>
            <w:r w:rsidRPr="00DC4602">
              <w:rPr>
                <w:rFonts w:asciiTheme="minorHAnsi" w:hAnsiTheme="minorHAnsi" w:cstheme="minorHAnsi"/>
                <w:b/>
                <w:smallCaps/>
                <w:sz w:val="22"/>
              </w:rPr>
              <w:t>Policy</w:t>
            </w:r>
          </w:p>
        </w:tc>
        <w:tc>
          <w:tcPr>
            <w:tcW w:w="9720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:rsidR="000E0E4A" w:rsidRPr="00D02892" w:rsidRDefault="0038419F" w:rsidP="00BE25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Corporate Compliance Program Education &amp; Training</w:t>
            </w:r>
          </w:p>
        </w:tc>
      </w:tr>
      <w:tr w:rsidR="000E0E4A" w:rsidRPr="00DC4602" w:rsidTr="00DC4602">
        <w:tc>
          <w:tcPr>
            <w:tcW w:w="118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E0E4A" w:rsidRPr="00DC4602" w:rsidRDefault="000E0E4A" w:rsidP="00BE2510">
            <w:pPr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DC4602">
              <w:rPr>
                <w:rFonts w:asciiTheme="minorHAnsi" w:hAnsiTheme="minorHAnsi" w:cstheme="minorHAnsi"/>
                <w:b/>
                <w:smallCaps/>
                <w:sz w:val="22"/>
              </w:rPr>
              <w:t>Sign Off</w:t>
            </w:r>
          </w:p>
        </w:tc>
        <w:tc>
          <w:tcPr>
            <w:tcW w:w="97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:rsidR="000E0E4A" w:rsidRPr="00D02892" w:rsidRDefault="0038419F" w:rsidP="00BE25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Robert Adler, M.D., CHLAMG Compliance Officer</w:t>
            </w:r>
          </w:p>
        </w:tc>
      </w:tr>
      <w:tr w:rsidR="000E0E4A" w:rsidRPr="00DC4602" w:rsidTr="00DC4602">
        <w:tc>
          <w:tcPr>
            <w:tcW w:w="118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E0E4A" w:rsidRPr="00DC4602" w:rsidRDefault="000E0E4A" w:rsidP="00BE2510">
            <w:pPr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DC4602">
              <w:rPr>
                <w:rFonts w:asciiTheme="minorHAnsi" w:hAnsiTheme="minorHAnsi" w:cstheme="minorHAnsi"/>
                <w:b/>
                <w:smallCaps/>
                <w:sz w:val="22"/>
              </w:rPr>
              <w:t>Issued</w:t>
            </w:r>
          </w:p>
        </w:tc>
        <w:tc>
          <w:tcPr>
            <w:tcW w:w="97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:rsidR="000E0E4A" w:rsidRPr="00D02892" w:rsidRDefault="0038419F" w:rsidP="00BE25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July 1, 2000</w:t>
            </w:r>
          </w:p>
        </w:tc>
      </w:tr>
      <w:tr w:rsidR="000E0E4A" w:rsidRPr="00DC4602" w:rsidTr="00DC4602">
        <w:tc>
          <w:tcPr>
            <w:tcW w:w="118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E0E4A" w:rsidRPr="00DC4602" w:rsidRDefault="000E0E4A" w:rsidP="00BE2510">
            <w:pPr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DC4602">
              <w:rPr>
                <w:rFonts w:asciiTheme="minorHAnsi" w:hAnsiTheme="minorHAnsi" w:cstheme="minorHAnsi"/>
                <w:b/>
                <w:smallCaps/>
                <w:sz w:val="22"/>
              </w:rPr>
              <w:t>Revised</w:t>
            </w:r>
          </w:p>
        </w:tc>
        <w:tc>
          <w:tcPr>
            <w:tcW w:w="97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:rsidR="000E0E4A" w:rsidRPr="00D02892" w:rsidRDefault="00BA788E" w:rsidP="00BE25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09, 2018</w:t>
            </w:r>
          </w:p>
        </w:tc>
      </w:tr>
      <w:tr w:rsidR="000E0E4A" w:rsidRPr="00DC4602" w:rsidTr="00DC4602">
        <w:tc>
          <w:tcPr>
            <w:tcW w:w="118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E0E4A" w:rsidRPr="00DC4602" w:rsidRDefault="000E0E4A" w:rsidP="00BE2510">
            <w:pPr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DC4602">
              <w:rPr>
                <w:rFonts w:asciiTheme="minorHAnsi" w:hAnsiTheme="minorHAnsi" w:cstheme="minorHAnsi"/>
                <w:b/>
                <w:smallCaps/>
                <w:sz w:val="22"/>
              </w:rPr>
              <w:t>Number</w:t>
            </w:r>
          </w:p>
        </w:tc>
        <w:tc>
          <w:tcPr>
            <w:tcW w:w="97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:rsidR="000E0E4A" w:rsidRPr="00D02892" w:rsidRDefault="00BA788E" w:rsidP="00BE25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CHLAMG 15-00</w:t>
            </w:r>
            <w:r w:rsidR="00877F35">
              <w:rPr>
                <w:rFonts w:asciiTheme="majorHAnsi" w:hAnsiTheme="majorHAnsi" w:cstheme="majorHAnsi"/>
              </w:rPr>
              <w:t>04</w:t>
            </w:r>
          </w:p>
        </w:tc>
      </w:tr>
      <w:bookmarkEnd w:id="0"/>
    </w:tbl>
    <w:p w:rsidR="00B335CB" w:rsidRPr="00DC4602" w:rsidRDefault="00B335CB" w:rsidP="00B335CB">
      <w:pPr>
        <w:jc w:val="both"/>
        <w:rPr>
          <w:rFonts w:asciiTheme="majorHAnsi" w:hAnsiTheme="majorHAnsi"/>
          <w:b/>
        </w:rPr>
      </w:pPr>
    </w:p>
    <w:p w:rsidR="00D75F7A" w:rsidRPr="00DC4602" w:rsidRDefault="00D75F7A" w:rsidP="00B335CB">
      <w:pPr>
        <w:jc w:val="both"/>
        <w:rPr>
          <w:rFonts w:asciiTheme="majorHAnsi" w:hAnsiTheme="majorHAnsi"/>
          <w:b/>
        </w:rPr>
      </w:pPr>
    </w:p>
    <w:p w:rsidR="00D75F7A" w:rsidRPr="00DC4602" w:rsidRDefault="00D75F7A" w:rsidP="008C4B55">
      <w:pPr>
        <w:shd w:val="clear" w:color="auto" w:fill="F2F2F2" w:themeFill="background1" w:themeFillShade="F2"/>
        <w:spacing w:after="120"/>
        <w:jc w:val="both"/>
        <w:rPr>
          <w:rFonts w:asciiTheme="minorHAnsi" w:hAnsiTheme="minorHAnsi" w:cstheme="minorHAnsi"/>
          <w:b/>
          <w:smallCaps/>
          <w:sz w:val="28"/>
        </w:rPr>
      </w:pPr>
      <w:r w:rsidRPr="00DC4602">
        <w:rPr>
          <w:rFonts w:asciiTheme="minorHAnsi" w:hAnsiTheme="minorHAnsi" w:cstheme="minorHAnsi"/>
          <w:b/>
          <w:smallCaps/>
          <w:sz w:val="28"/>
        </w:rPr>
        <w:t>Policy</w:t>
      </w:r>
    </w:p>
    <w:p w:rsidR="00D75F7A" w:rsidRDefault="0038419F" w:rsidP="0038419F">
      <w:pPr>
        <w:spacing w:after="120"/>
        <w:jc w:val="both"/>
        <w:rPr>
          <w:sz w:val="22"/>
        </w:rPr>
      </w:pPr>
      <w:r w:rsidRPr="0038419F">
        <w:rPr>
          <w:sz w:val="22"/>
        </w:rPr>
        <w:t>CHLAMG Corporate Compliance Program includes flexible education and training content and schedules for providers and staff to meet the needs of Children</w:t>
      </w:r>
      <w:r>
        <w:rPr>
          <w:sz w:val="22"/>
        </w:rPr>
        <w:t>’</w:t>
      </w:r>
      <w:r w:rsidRPr="0038419F">
        <w:rPr>
          <w:sz w:val="22"/>
        </w:rPr>
        <w:t>s Hospital Los Angeles Medical Group, Inc., and its affiliates.</w:t>
      </w:r>
    </w:p>
    <w:p w:rsidR="0038419F" w:rsidRPr="0038419F" w:rsidRDefault="0038419F" w:rsidP="0038419F">
      <w:pPr>
        <w:spacing w:after="120"/>
        <w:jc w:val="both"/>
        <w:rPr>
          <w:rFonts w:asciiTheme="majorHAnsi" w:hAnsiTheme="majorHAnsi"/>
          <w:b/>
          <w:smallCaps/>
          <w:sz w:val="22"/>
        </w:rPr>
      </w:pPr>
    </w:p>
    <w:p w:rsidR="00D75F7A" w:rsidRPr="00DC4602" w:rsidRDefault="0038419F" w:rsidP="008C4B55">
      <w:pPr>
        <w:shd w:val="clear" w:color="auto" w:fill="F2F2F2" w:themeFill="background1" w:themeFillShade="F2"/>
        <w:spacing w:after="120"/>
        <w:jc w:val="both"/>
        <w:rPr>
          <w:rFonts w:asciiTheme="minorHAnsi" w:hAnsiTheme="minorHAnsi" w:cstheme="minorHAnsi"/>
          <w:b/>
          <w:smallCaps/>
          <w:sz w:val="28"/>
        </w:rPr>
      </w:pPr>
      <w:r>
        <w:rPr>
          <w:rFonts w:asciiTheme="minorHAnsi" w:hAnsiTheme="minorHAnsi" w:cstheme="minorHAnsi"/>
          <w:b/>
          <w:smallCaps/>
          <w:sz w:val="28"/>
        </w:rPr>
        <w:t>Compliance Training Calendar</w:t>
      </w:r>
    </w:p>
    <w:p w:rsidR="00D75F7A" w:rsidRPr="00DC4602" w:rsidRDefault="00D75F7A" w:rsidP="008C4B55">
      <w:pPr>
        <w:shd w:val="clear" w:color="auto" w:fill="FFFFFF" w:themeFill="background1"/>
        <w:spacing w:after="120"/>
        <w:jc w:val="both"/>
        <w:rPr>
          <w:rFonts w:asciiTheme="majorHAnsi" w:hAnsiTheme="majorHAnsi"/>
          <w:b/>
          <w:smallCaps/>
        </w:rPr>
      </w:pPr>
    </w:p>
    <w:p w:rsidR="00B37DFF" w:rsidRPr="00B37DFF" w:rsidRDefault="00D76EC2" w:rsidP="00D76EC2">
      <w:pPr>
        <w:shd w:val="clear" w:color="auto" w:fill="FFFFFF" w:themeFill="background1"/>
        <w:jc w:val="both"/>
        <w:rPr>
          <w:rFonts w:asciiTheme="majorHAnsi" w:eastAsia="Calibri" w:hAnsiTheme="majorHAnsi" w:cs="Frutiger 55 Roman"/>
          <w:b/>
          <w:color w:val="000000"/>
          <w:sz w:val="22"/>
        </w:rPr>
      </w:pPr>
      <w:r w:rsidRPr="00B37DFF">
        <w:rPr>
          <w:rFonts w:asciiTheme="majorHAnsi" w:eastAsia="Calibri" w:hAnsiTheme="majorHAnsi" w:cs="Frutiger 55 Roman"/>
          <w:b/>
          <w:color w:val="000000"/>
          <w:sz w:val="22"/>
        </w:rPr>
        <w:t xml:space="preserve">Standard Module:  </w:t>
      </w:r>
    </w:p>
    <w:p w:rsidR="00D76EC2" w:rsidRDefault="00D76EC2" w:rsidP="00D76EC2">
      <w:pPr>
        <w:shd w:val="clear" w:color="auto" w:fill="FFFFFF" w:themeFill="background1"/>
        <w:jc w:val="both"/>
        <w:rPr>
          <w:rFonts w:asciiTheme="majorHAnsi" w:eastAsia="Calibri" w:hAnsiTheme="majorHAnsi" w:cs="Frutiger 55 Roman"/>
          <w:color w:val="000000"/>
          <w:sz w:val="22"/>
        </w:rPr>
      </w:pP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This program consists of Evaluation and Management (E/M) documentation and coding education, Compliant Documentation for Teaching Physicians (Compliance Policies: General Standard for E/M, General Standard for Anesthesia, and General Standard for Surgery policies); Documentation, Coding, and Billing for Non-Physician Practitioners.  </w:t>
      </w:r>
      <w:r w:rsidR="00C6283D">
        <w:rPr>
          <w:rFonts w:asciiTheme="majorHAnsi" w:eastAsia="Calibri" w:hAnsiTheme="majorHAnsi" w:cs="Frutiger 55 Roman"/>
          <w:color w:val="000000"/>
          <w:sz w:val="22"/>
        </w:rPr>
        <w:t>The Compliance Department offers t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his course at the convenience of physicians, and </w:t>
      </w:r>
      <w:r w:rsidR="00C6283D">
        <w:rPr>
          <w:rFonts w:asciiTheme="majorHAnsi" w:eastAsia="Calibri" w:hAnsiTheme="majorHAnsi" w:cs="Frutiger 55 Roman"/>
          <w:color w:val="000000"/>
          <w:sz w:val="22"/>
        </w:rPr>
        <w:t xml:space="preserve">physicians 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can </w:t>
      </w:r>
      <w:r w:rsidR="00C6283D">
        <w:rPr>
          <w:rFonts w:asciiTheme="majorHAnsi" w:eastAsia="Calibri" w:hAnsiTheme="majorHAnsi" w:cs="Frutiger 55 Roman"/>
          <w:color w:val="000000"/>
          <w:sz w:val="22"/>
        </w:rPr>
        <w:t>schedule a course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 by contacting the compliance department a</w:t>
      </w:r>
      <w:r w:rsidR="00E33C3F">
        <w:rPr>
          <w:rFonts w:asciiTheme="majorHAnsi" w:eastAsia="Calibri" w:hAnsiTheme="majorHAnsi" w:cs="Frutiger 55 Roman"/>
          <w:color w:val="000000"/>
          <w:sz w:val="22"/>
        </w:rPr>
        <w:t xml:space="preserve">t </w:t>
      </w:r>
      <w:hyperlink r:id="rId7" w:history="1">
        <w:r w:rsidR="00E33C3F" w:rsidRPr="00DB3321">
          <w:rPr>
            <w:rStyle w:val="Hyperlink"/>
            <w:rFonts w:asciiTheme="majorHAnsi" w:eastAsia="Calibri" w:hAnsiTheme="majorHAnsi" w:cs="Frutiger 55 Roman"/>
            <w:sz w:val="22"/>
          </w:rPr>
          <w:t>CHLAMGcompliance@chla.usc.edu</w:t>
        </w:r>
      </w:hyperlink>
      <w:r w:rsidR="00E33C3F">
        <w:rPr>
          <w:rFonts w:asciiTheme="majorHAnsi" w:eastAsia="Calibri" w:hAnsiTheme="majorHAnsi" w:cs="Frutiger 55 Roman"/>
          <w:color w:val="000000"/>
          <w:sz w:val="22"/>
        </w:rPr>
        <w:t xml:space="preserve">. </w:t>
      </w:r>
    </w:p>
    <w:p w:rsidR="00D76EC2" w:rsidRPr="00D76EC2" w:rsidRDefault="00D76EC2" w:rsidP="00D76EC2">
      <w:pPr>
        <w:shd w:val="clear" w:color="auto" w:fill="FFFFFF" w:themeFill="background1"/>
        <w:jc w:val="both"/>
        <w:rPr>
          <w:rFonts w:asciiTheme="majorHAnsi" w:eastAsia="Calibri" w:hAnsiTheme="majorHAnsi" w:cs="Frutiger 55 Roman"/>
          <w:color w:val="000000"/>
          <w:sz w:val="22"/>
        </w:rPr>
      </w:pPr>
    </w:p>
    <w:p w:rsidR="00B37DFF" w:rsidRPr="00B37DFF" w:rsidRDefault="00416CA5" w:rsidP="00D76EC2">
      <w:pPr>
        <w:shd w:val="clear" w:color="auto" w:fill="FFFFFF" w:themeFill="background1"/>
        <w:jc w:val="both"/>
        <w:rPr>
          <w:rFonts w:asciiTheme="majorHAnsi" w:eastAsia="Calibri" w:hAnsiTheme="majorHAnsi" w:cs="Frutiger 55 Roman"/>
          <w:b/>
          <w:color w:val="000000"/>
          <w:sz w:val="22"/>
        </w:rPr>
      </w:pPr>
      <w:r>
        <w:rPr>
          <w:rFonts w:asciiTheme="majorHAnsi" w:eastAsia="Calibri" w:hAnsiTheme="majorHAnsi" w:cs="Frutiger 55 Roman"/>
          <w:b/>
          <w:color w:val="000000"/>
          <w:sz w:val="22"/>
        </w:rPr>
        <w:t>Annual ICD-10</w:t>
      </w:r>
      <w:r w:rsidR="00D76EC2" w:rsidRPr="00B37DFF">
        <w:rPr>
          <w:rFonts w:asciiTheme="majorHAnsi" w:eastAsia="Calibri" w:hAnsiTheme="majorHAnsi" w:cs="Frutiger 55 Roman"/>
          <w:b/>
          <w:color w:val="000000"/>
          <w:sz w:val="22"/>
        </w:rPr>
        <w:t xml:space="preserve">-CM and Charge Capture Update:  </w:t>
      </w:r>
    </w:p>
    <w:p w:rsidR="00D76EC2" w:rsidRPr="00D76EC2" w:rsidRDefault="00C6283D" w:rsidP="00D76EC2">
      <w:pPr>
        <w:shd w:val="clear" w:color="auto" w:fill="FFFFFF" w:themeFill="background1"/>
        <w:jc w:val="both"/>
        <w:rPr>
          <w:rFonts w:asciiTheme="majorHAnsi" w:eastAsia="Calibri" w:hAnsiTheme="majorHAnsi" w:cs="Frutiger 55 Roman"/>
          <w:color w:val="000000"/>
          <w:sz w:val="22"/>
        </w:rPr>
      </w:pPr>
      <w:r>
        <w:rPr>
          <w:rFonts w:asciiTheme="majorHAnsi" w:eastAsia="Calibri" w:hAnsiTheme="majorHAnsi" w:cs="Frutiger 55 Roman"/>
          <w:color w:val="000000"/>
          <w:sz w:val="22"/>
        </w:rPr>
        <w:t xml:space="preserve">The Compliance </w:t>
      </w:r>
      <w:r w:rsidR="00F13D8B">
        <w:rPr>
          <w:rFonts w:asciiTheme="majorHAnsi" w:eastAsia="Calibri" w:hAnsiTheme="majorHAnsi" w:cs="Frutiger 55 Roman"/>
          <w:color w:val="000000"/>
          <w:sz w:val="22"/>
        </w:rPr>
        <w:t>d</w:t>
      </w:r>
      <w:r>
        <w:rPr>
          <w:rFonts w:asciiTheme="majorHAnsi" w:eastAsia="Calibri" w:hAnsiTheme="majorHAnsi" w:cs="Frutiger 55 Roman"/>
          <w:color w:val="000000"/>
          <w:sz w:val="22"/>
        </w:rPr>
        <w:t>epartment provides t</w:t>
      </w:r>
      <w:r w:rsidR="00D76EC2" w:rsidRPr="00D76EC2">
        <w:rPr>
          <w:rFonts w:asciiTheme="majorHAnsi" w:eastAsia="Calibri" w:hAnsiTheme="majorHAnsi" w:cs="Frutiger 55 Roman"/>
          <w:color w:val="000000"/>
          <w:sz w:val="22"/>
        </w:rPr>
        <w:t>his program annually for physicians and the divisions’ business manager or</w:t>
      </w:r>
      <w:r w:rsidR="00597399">
        <w:rPr>
          <w:rFonts w:asciiTheme="majorHAnsi" w:eastAsia="Calibri" w:hAnsiTheme="majorHAnsi" w:cs="Frutiger 55 Roman"/>
          <w:color w:val="000000"/>
          <w:sz w:val="22"/>
        </w:rPr>
        <w:t xml:space="preserve"> designee to review annual ICD-10</w:t>
      </w:r>
      <w:r w:rsidR="00D76EC2" w:rsidRPr="00D76EC2">
        <w:rPr>
          <w:rFonts w:asciiTheme="majorHAnsi" w:eastAsia="Calibri" w:hAnsiTheme="majorHAnsi" w:cs="Frutiger 55 Roman"/>
          <w:color w:val="000000"/>
          <w:sz w:val="22"/>
        </w:rPr>
        <w:t xml:space="preserve">-CM and CPT changes, including new and deleted codes and regulatory coding guidance </w:t>
      </w:r>
      <w:r>
        <w:rPr>
          <w:rFonts w:asciiTheme="majorHAnsi" w:eastAsia="Calibri" w:hAnsiTheme="majorHAnsi" w:cs="Frutiger 55 Roman"/>
          <w:color w:val="000000"/>
          <w:sz w:val="22"/>
        </w:rPr>
        <w:t>that CMS issues annually</w:t>
      </w:r>
      <w:r w:rsidR="00D76EC2" w:rsidRPr="00D76EC2">
        <w:rPr>
          <w:rFonts w:asciiTheme="majorHAnsi" w:eastAsia="Calibri" w:hAnsiTheme="majorHAnsi" w:cs="Frutiger 55 Roman"/>
          <w:color w:val="000000"/>
          <w:sz w:val="22"/>
        </w:rPr>
        <w:t xml:space="preserve">.  </w:t>
      </w:r>
      <w:r>
        <w:rPr>
          <w:rFonts w:asciiTheme="majorHAnsi" w:eastAsia="Calibri" w:hAnsiTheme="majorHAnsi" w:cs="Frutiger 55 Roman"/>
          <w:color w:val="000000"/>
          <w:sz w:val="22"/>
        </w:rPr>
        <w:t>The Compliance Department covers t</w:t>
      </w:r>
      <w:r w:rsidR="00D76EC2" w:rsidRPr="00D76EC2">
        <w:rPr>
          <w:rFonts w:asciiTheme="majorHAnsi" w:eastAsia="Calibri" w:hAnsiTheme="majorHAnsi" w:cs="Frutiger 55 Roman"/>
          <w:color w:val="000000"/>
          <w:sz w:val="22"/>
        </w:rPr>
        <w:t>hese topics in the following units:</w:t>
      </w:r>
    </w:p>
    <w:p w:rsidR="00D76EC2" w:rsidRPr="00B37DFF" w:rsidRDefault="00D76EC2" w:rsidP="00B37DFF">
      <w:pPr>
        <w:pStyle w:val="ListParagraph"/>
        <w:numPr>
          <w:ilvl w:val="0"/>
          <w:numId w:val="14"/>
        </w:numPr>
        <w:shd w:val="clear" w:color="auto" w:fill="FFFFFF" w:themeFill="background1"/>
        <w:jc w:val="both"/>
        <w:rPr>
          <w:rFonts w:asciiTheme="majorHAnsi" w:eastAsia="Calibri" w:hAnsiTheme="majorHAnsi" w:cs="Frutiger 55 Roman"/>
          <w:color w:val="000000"/>
          <w:sz w:val="22"/>
        </w:rPr>
      </w:pPr>
      <w:r w:rsidRPr="00B37DFF">
        <w:rPr>
          <w:rFonts w:asciiTheme="majorHAnsi" w:eastAsia="Calibri" w:hAnsiTheme="majorHAnsi" w:cs="Frutiger 55 Roman"/>
          <w:color w:val="000000"/>
          <w:sz w:val="22"/>
        </w:rPr>
        <w:t>Annual charg</w:t>
      </w:r>
      <w:r w:rsidR="00472741">
        <w:rPr>
          <w:rFonts w:asciiTheme="majorHAnsi" w:eastAsia="Calibri" w:hAnsiTheme="majorHAnsi" w:cs="Frutiger 55 Roman"/>
          <w:color w:val="000000"/>
          <w:sz w:val="22"/>
        </w:rPr>
        <w:t xml:space="preserve">e entry/ticket update meeting: </w:t>
      </w:r>
      <w:r w:rsidR="00C6283D">
        <w:rPr>
          <w:rFonts w:asciiTheme="majorHAnsi" w:eastAsia="Calibri" w:hAnsiTheme="majorHAnsi" w:cs="Frutiger 55 Roman"/>
          <w:color w:val="000000"/>
          <w:sz w:val="22"/>
        </w:rPr>
        <w:t>D</w:t>
      </w:r>
      <w:r w:rsidRPr="00B37DFF">
        <w:rPr>
          <w:rFonts w:asciiTheme="majorHAnsi" w:eastAsia="Calibri" w:hAnsiTheme="majorHAnsi" w:cs="Frutiger 55 Roman"/>
          <w:color w:val="000000"/>
          <w:sz w:val="22"/>
        </w:rPr>
        <w:t>ivision bus</w:t>
      </w:r>
      <w:r w:rsidR="009D4DC2">
        <w:rPr>
          <w:rFonts w:asciiTheme="majorHAnsi" w:eastAsia="Calibri" w:hAnsiTheme="majorHAnsi" w:cs="Frutiger 55 Roman"/>
          <w:color w:val="000000"/>
          <w:sz w:val="22"/>
        </w:rPr>
        <w:t>iness designees or physicians who</w:t>
      </w:r>
      <w:r w:rsidRPr="00B37DFF">
        <w:rPr>
          <w:rFonts w:asciiTheme="majorHAnsi" w:eastAsia="Calibri" w:hAnsiTheme="majorHAnsi" w:cs="Frutiger 55 Roman"/>
          <w:color w:val="000000"/>
          <w:sz w:val="22"/>
        </w:rPr>
        <w:t xml:space="preserve"> are primarily accountable for managing the charge capture process in their departments</w:t>
      </w:r>
      <w:r w:rsidR="00C6283D">
        <w:rPr>
          <w:rFonts w:asciiTheme="majorHAnsi" w:eastAsia="Calibri" w:hAnsiTheme="majorHAnsi" w:cs="Frutiger 55 Roman"/>
          <w:color w:val="000000"/>
          <w:sz w:val="22"/>
        </w:rPr>
        <w:t xml:space="preserve"> attend this meeting</w:t>
      </w:r>
      <w:r w:rsidRPr="00B37DFF">
        <w:rPr>
          <w:rFonts w:asciiTheme="majorHAnsi" w:eastAsia="Calibri" w:hAnsiTheme="majorHAnsi" w:cs="Frutiger 55 Roman"/>
          <w:color w:val="000000"/>
          <w:sz w:val="22"/>
        </w:rPr>
        <w:t xml:space="preserve">.  </w:t>
      </w:r>
      <w:r w:rsidR="00C6283D">
        <w:rPr>
          <w:rFonts w:asciiTheme="majorHAnsi" w:eastAsia="Calibri" w:hAnsiTheme="majorHAnsi" w:cs="Frutiger 55 Roman"/>
          <w:color w:val="000000"/>
          <w:sz w:val="22"/>
        </w:rPr>
        <w:t>This meeting gives a</w:t>
      </w:r>
      <w:r w:rsidRPr="00B37DFF">
        <w:rPr>
          <w:rFonts w:asciiTheme="majorHAnsi" w:eastAsia="Calibri" w:hAnsiTheme="majorHAnsi" w:cs="Frutiger 55 Roman"/>
          <w:color w:val="000000"/>
          <w:sz w:val="22"/>
        </w:rPr>
        <w:t xml:space="preserve">ttendees education about the code changes, as well as instruction on updating demographic information on the charge ticket or data entry screens.     </w:t>
      </w:r>
    </w:p>
    <w:p w:rsidR="00D76EC2" w:rsidRPr="00B37DFF" w:rsidRDefault="00D76EC2" w:rsidP="00B37DFF">
      <w:pPr>
        <w:pStyle w:val="ListParagraph"/>
        <w:numPr>
          <w:ilvl w:val="0"/>
          <w:numId w:val="14"/>
        </w:numPr>
        <w:shd w:val="clear" w:color="auto" w:fill="FFFFFF" w:themeFill="background1"/>
        <w:jc w:val="both"/>
        <w:rPr>
          <w:rFonts w:asciiTheme="majorHAnsi" w:eastAsia="Calibri" w:hAnsiTheme="majorHAnsi" w:cs="Frutiger 55 Roman"/>
          <w:color w:val="000000"/>
          <w:sz w:val="22"/>
        </w:rPr>
      </w:pPr>
      <w:r w:rsidRPr="00B37DFF">
        <w:rPr>
          <w:rFonts w:asciiTheme="majorHAnsi" w:eastAsia="Calibri" w:hAnsiTheme="majorHAnsi" w:cs="Frutiger 55 Roman"/>
          <w:color w:val="000000"/>
          <w:sz w:val="22"/>
        </w:rPr>
        <w:t xml:space="preserve">Annual ICD-10-CM and CPT code change education: </w:t>
      </w:r>
      <w:r w:rsidR="00C6283D">
        <w:rPr>
          <w:rFonts w:asciiTheme="majorHAnsi" w:eastAsia="Calibri" w:hAnsiTheme="majorHAnsi" w:cs="Frutiger 55 Roman"/>
          <w:color w:val="000000"/>
          <w:sz w:val="22"/>
        </w:rPr>
        <w:t>The compliance department offers t</w:t>
      </w:r>
      <w:r w:rsidR="00472741">
        <w:rPr>
          <w:rFonts w:asciiTheme="majorHAnsi" w:eastAsia="Calibri" w:hAnsiTheme="majorHAnsi" w:cs="Frutiger 55 Roman"/>
          <w:color w:val="000000"/>
          <w:sz w:val="22"/>
        </w:rPr>
        <w:t xml:space="preserve">hese </w:t>
      </w:r>
      <w:r w:rsidRPr="00B37DFF">
        <w:rPr>
          <w:rFonts w:asciiTheme="majorHAnsi" w:eastAsia="Calibri" w:hAnsiTheme="majorHAnsi" w:cs="Frutiger 55 Roman"/>
          <w:color w:val="000000"/>
          <w:sz w:val="22"/>
        </w:rPr>
        <w:t xml:space="preserve">sessions to divisions whose specialty specific codes have been updated for the coming year.  These sessions are optional, </w:t>
      </w:r>
      <w:r w:rsidR="00C6283D">
        <w:rPr>
          <w:rFonts w:asciiTheme="majorHAnsi" w:eastAsia="Calibri" w:hAnsiTheme="majorHAnsi" w:cs="Frutiger 55 Roman"/>
          <w:color w:val="000000"/>
          <w:sz w:val="22"/>
        </w:rPr>
        <w:t>CHLAMG</w:t>
      </w:r>
      <w:r w:rsidRPr="00B37DFF">
        <w:rPr>
          <w:rFonts w:asciiTheme="majorHAnsi" w:eastAsia="Calibri" w:hAnsiTheme="majorHAnsi" w:cs="Frutiger 55 Roman"/>
          <w:color w:val="000000"/>
          <w:sz w:val="22"/>
        </w:rPr>
        <w:t xml:space="preserve"> highly encourage</w:t>
      </w:r>
      <w:r w:rsidR="00C6283D">
        <w:rPr>
          <w:rFonts w:asciiTheme="majorHAnsi" w:eastAsia="Calibri" w:hAnsiTheme="majorHAnsi" w:cs="Frutiger 55 Roman"/>
          <w:color w:val="000000"/>
          <w:sz w:val="22"/>
        </w:rPr>
        <w:t>s them</w:t>
      </w:r>
      <w:r w:rsidRPr="00B37DFF">
        <w:rPr>
          <w:rFonts w:asciiTheme="majorHAnsi" w:eastAsia="Calibri" w:hAnsiTheme="majorHAnsi" w:cs="Frutiger 55 Roman"/>
          <w:color w:val="000000"/>
          <w:sz w:val="22"/>
        </w:rPr>
        <w:t>.</w:t>
      </w:r>
    </w:p>
    <w:p w:rsidR="00D76EC2" w:rsidRPr="00D76EC2" w:rsidRDefault="00D76EC2" w:rsidP="00D76EC2">
      <w:pPr>
        <w:shd w:val="clear" w:color="auto" w:fill="FFFFFF" w:themeFill="background1"/>
        <w:jc w:val="both"/>
        <w:rPr>
          <w:rFonts w:asciiTheme="majorHAnsi" w:eastAsia="Calibri" w:hAnsiTheme="majorHAnsi" w:cs="Frutiger 55 Roman"/>
          <w:color w:val="000000"/>
          <w:sz w:val="22"/>
        </w:rPr>
      </w:pPr>
    </w:p>
    <w:p w:rsidR="00B37DFF" w:rsidRPr="00B37DFF" w:rsidRDefault="00D76EC2" w:rsidP="00D76EC2">
      <w:pPr>
        <w:shd w:val="clear" w:color="auto" w:fill="FFFFFF" w:themeFill="background1"/>
        <w:jc w:val="both"/>
        <w:rPr>
          <w:rFonts w:asciiTheme="majorHAnsi" w:eastAsia="Calibri" w:hAnsiTheme="majorHAnsi" w:cs="Frutiger 55 Roman"/>
          <w:b/>
          <w:color w:val="000000"/>
          <w:sz w:val="22"/>
        </w:rPr>
      </w:pPr>
      <w:r w:rsidRPr="00B37DFF">
        <w:rPr>
          <w:rFonts w:asciiTheme="majorHAnsi" w:eastAsia="Calibri" w:hAnsiTheme="majorHAnsi" w:cs="Frutiger 55 Roman"/>
          <w:b/>
          <w:color w:val="000000"/>
          <w:sz w:val="22"/>
        </w:rPr>
        <w:t xml:space="preserve">Topic Specific Education:  </w:t>
      </w:r>
    </w:p>
    <w:p w:rsidR="00D76EC2" w:rsidRDefault="00D76EC2" w:rsidP="00D76EC2">
      <w:pPr>
        <w:shd w:val="clear" w:color="auto" w:fill="FFFFFF" w:themeFill="background1"/>
        <w:jc w:val="both"/>
        <w:rPr>
          <w:rFonts w:asciiTheme="majorHAnsi" w:eastAsia="Calibri" w:hAnsiTheme="majorHAnsi" w:cs="Frutiger 55 Roman"/>
          <w:color w:val="000000"/>
          <w:sz w:val="22"/>
        </w:rPr>
      </w:pPr>
      <w:r w:rsidRPr="00D76EC2">
        <w:rPr>
          <w:rFonts w:asciiTheme="majorHAnsi" w:eastAsia="Calibri" w:hAnsiTheme="majorHAnsi" w:cs="Frutiger 55 Roman"/>
          <w:color w:val="000000"/>
          <w:sz w:val="22"/>
        </w:rPr>
        <w:t>The Compliance Department provides meaningful and timely updates to internal and external changes through a variety of m</w:t>
      </w:r>
      <w:r w:rsidR="00E33C3F">
        <w:rPr>
          <w:rFonts w:asciiTheme="majorHAnsi" w:eastAsia="Calibri" w:hAnsiTheme="majorHAnsi" w:cs="Frutiger 55 Roman"/>
          <w:color w:val="000000"/>
          <w:sz w:val="22"/>
        </w:rPr>
        <w:t>edia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 including newsletters, mass-email notification, and didactic discussion.  Compliance staff attend regularly or special scheduled meetings of division/faculty, ambulatory services managers, non-physician practitioner meetings, etc., to provide topic-specific updates. </w:t>
      </w:r>
      <w:r w:rsidR="00C6283D">
        <w:rPr>
          <w:rFonts w:asciiTheme="majorHAnsi" w:eastAsia="Calibri" w:hAnsiTheme="majorHAnsi" w:cs="Frutiger 55 Roman"/>
          <w:color w:val="000000"/>
          <w:sz w:val="22"/>
        </w:rPr>
        <w:t>A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 new or revised policy/procedure pertaining to the topic</w:t>
      </w:r>
      <w:r w:rsidR="00C6283D">
        <w:rPr>
          <w:rFonts w:asciiTheme="majorHAnsi" w:eastAsia="Calibri" w:hAnsiTheme="majorHAnsi" w:cs="Frutiger 55 Roman"/>
          <w:color w:val="000000"/>
          <w:sz w:val="22"/>
        </w:rPr>
        <w:t xml:space="preserve"> generally accompanies these sessions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.  For example, </w:t>
      </w:r>
      <w:r w:rsidR="00C6283D">
        <w:rPr>
          <w:rFonts w:asciiTheme="majorHAnsi" w:eastAsia="Calibri" w:hAnsiTheme="majorHAnsi" w:cs="Frutiger 55 Roman"/>
          <w:color w:val="000000"/>
          <w:sz w:val="22"/>
        </w:rPr>
        <w:t xml:space="preserve">the Compliance Department provided 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information pertaining to the 2010 Medicare National Coverage Determination to discontinue acceptance of consultation codes at division meetings, hospital meetings, letters and mailings, and emails.  </w:t>
      </w:r>
    </w:p>
    <w:p w:rsidR="00D76EC2" w:rsidRPr="00D76EC2" w:rsidRDefault="00D76EC2" w:rsidP="00D76EC2">
      <w:pPr>
        <w:shd w:val="clear" w:color="auto" w:fill="FFFFFF" w:themeFill="background1"/>
        <w:jc w:val="both"/>
        <w:rPr>
          <w:rFonts w:asciiTheme="majorHAnsi" w:eastAsia="Calibri" w:hAnsiTheme="majorHAnsi" w:cs="Frutiger 55 Roman"/>
          <w:color w:val="000000"/>
          <w:sz w:val="22"/>
        </w:rPr>
      </w:pPr>
    </w:p>
    <w:p w:rsidR="00B37DFF" w:rsidRPr="00B37DFF" w:rsidRDefault="00D76EC2" w:rsidP="00D76EC2">
      <w:pPr>
        <w:shd w:val="clear" w:color="auto" w:fill="FFFFFF" w:themeFill="background1"/>
        <w:jc w:val="both"/>
        <w:rPr>
          <w:rFonts w:asciiTheme="majorHAnsi" w:eastAsia="Calibri" w:hAnsiTheme="majorHAnsi" w:cs="Frutiger 55 Roman"/>
          <w:b/>
          <w:color w:val="000000"/>
          <w:sz w:val="22"/>
        </w:rPr>
      </w:pPr>
      <w:r w:rsidRPr="00B37DFF">
        <w:rPr>
          <w:rFonts w:asciiTheme="majorHAnsi" w:eastAsia="Calibri" w:hAnsiTheme="majorHAnsi" w:cs="Frutiger 55 Roman"/>
          <w:b/>
          <w:color w:val="000000"/>
          <w:sz w:val="22"/>
        </w:rPr>
        <w:t xml:space="preserve">One-on-One Training:  </w:t>
      </w:r>
    </w:p>
    <w:p w:rsidR="00D76EC2" w:rsidRDefault="00D76EC2" w:rsidP="00D76EC2">
      <w:pPr>
        <w:shd w:val="clear" w:color="auto" w:fill="FFFFFF" w:themeFill="background1"/>
        <w:jc w:val="both"/>
        <w:rPr>
          <w:rFonts w:asciiTheme="majorHAnsi" w:eastAsia="Calibri" w:hAnsiTheme="majorHAnsi" w:cs="Frutiger 55 Roman"/>
          <w:color w:val="000000"/>
          <w:sz w:val="22"/>
        </w:rPr>
      </w:pP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The Compliance Department maintains an open door policy for communication and emphasizes education as a primary focus to ensure good business relations.  </w:t>
      </w:r>
      <w:r w:rsidR="00C6283D">
        <w:rPr>
          <w:rFonts w:asciiTheme="majorHAnsi" w:eastAsia="Calibri" w:hAnsiTheme="majorHAnsi" w:cs="Frutiger 55 Roman"/>
          <w:color w:val="000000"/>
          <w:sz w:val="22"/>
        </w:rPr>
        <w:t>The Department can provide e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ducation on any topic via request of the individual.  In addition, </w:t>
      </w:r>
      <w:r w:rsidR="006229C7">
        <w:rPr>
          <w:rFonts w:asciiTheme="majorHAnsi" w:eastAsia="Calibri" w:hAnsiTheme="majorHAnsi" w:cs="Frutiger 55 Roman"/>
          <w:color w:val="000000"/>
          <w:sz w:val="22"/>
        </w:rPr>
        <w:t xml:space="preserve">the Compliance Department may require or provide special compliance training at any time 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if audit findings, Hotline complaints, or </w:t>
      </w:r>
      <w:r w:rsidR="006229C7">
        <w:rPr>
          <w:rFonts w:asciiTheme="majorHAnsi" w:eastAsia="Calibri" w:hAnsiTheme="majorHAnsi" w:cs="Frutiger 55 Roman"/>
          <w:color w:val="000000"/>
          <w:sz w:val="22"/>
        </w:rPr>
        <w:t>direction from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 the Executive Compliance Committee </w:t>
      </w:r>
      <w:r w:rsidR="006229C7">
        <w:rPr>
          <w:rFonts w:asciiTheme="majorHAnsi" w:eastAsia="Calibri" w:hAnsiTheme="majorHAnsi" w:cs="Frutiger 55 Roman"/>
          <w:color w:val="000000"/>
          <w:sz w:val="22"/>
        </w:rPr>
        <w:t>warrants it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>.</w:t>
      </w:r>
    </w:p>
    <w:p w:rsidR="00D76EC2" w:rsidRPr="00D76EC2" w:rsidRDefault="00D76EC2" w:rsidP="00D76EC2">
      <w:pPr>
        <w:shd w:val="clear" w:color="auto" w:fill="FFFFFF" w:themeFill="background1"/>
        <w:jc w:val="both"/>
        <w:rPr>
          <w:rFonts w:asciiTheme="majorHAnsi" w:eastAsia="Calibri" w:hAnsiTheme="majorHAnsi" w:cs="Frutiger 55 Roman"/>
          <w:color w:val="000000"/>
          <w:sz w:val="22"/>
        </w:rPr>
      </w:pPr>
    </w:p>
    <w:p w:rsidR="00B37DFF" w:rsidRPr="00B37DFF" w:rsidRDefault="00D76EC2" w:rsidP="00D76EC2">
      <w:pPr>
        <w:shd w:val="clear" w:color="auto" w:fill="FFFFFF" w:themeFill="background1"/>
        <w:jc w:val="both"/>
        <w:rPr>
          <w:rFonts w:asciiTheme="majorHAnsi" w:eastAsia="Calibri" w:hAnsiTheme="majorHAnsi" w:cs="Frutiger 55 Roman"/>
          <w:b/>
          <w:color w:val="000000"/>
          <w:sz w:val="22"/>
        </w:rPr>
      </w:pPr>
      <w:r w:rsidRPr="00B37DFF">
        <w:rPr>
          <w:rFonts w:asciiTheme="majorHAnsi" w:eastAsia="Calibri" w:hAnsiTheme="majorHAnsi" w:cs="Frutiger 55 Roman"/>
          <w:b/>
          <w:color w:val="000000"/>
          <w:sz w:val="22"/>
        </w:rPr>
        <w:lastRenderedPageBreak/>
        <w:t xml:space="preserve">Online Training – Physicians:  </w:t>
      </w:r>
    </w:p>
    <w:p w:rsidR="00D76EC2" w:rsidRDefault="00D76EC2" w:rsidP="00D76EC2">
      <w:pPr>
        <w:shd w:val="clear" w:color="auto" w:fill="FFFFFF" w:themeFill="background1"/>
        <w:jc w:val="both"/>
        <w:rPr>
          <w:rFonts w:asciiTheme="majorHAnsi" w:eastAsia="Calibri" w:hAnsiTheme="majorHAnsi" w:cs="Frutiger 55 Roman"/>
          <w:color w:val="000000"/>
          <w:sz w:val="22"/>
        </w:rPr>
      </w:pP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In coordination with CHLA, </w:t>
      </w:r>
      <w:r w:rsidR="006229C7">
        <w:rPr>
          <w:rFonts w:asciiTheme="majorHAnsi" w:eastAsia="Calibri" w:hAnsiTheme="majorHAnsi" w:cs="Frutiger 55 Roman"/>
          <w:color w:val="000000"/>
          <w:sz w:val="22"/>
        </w:rPr>
        <w:t xml:space="preserve">the Compliance Department provides 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annual compliance training through the </w:t>
      </w:r>
      <w:proofErr w:type="spellStart"/>
      <w:r w:rsidRPr="00D76EC2">
        <w:rPr>
          <w:rFonts w:asciiTheme="majorHAnsi" w:eastAsia="Calibri" w:hAnsiTheme="majorHAnsi" w:cs="Frutiger 55 Roman"/>
          <w:color w:val="000000"/>
          <w:sz w:val="22"/>
        </w:rPr>
        <w:t>iLearn</w:t>
      </w:r>
      <w:proofErr w:type="spellEnd"/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 system.  </w:t>
      </w:r>
      <w:r w:rsidR="006229C7">
        <w:rPr>
          <w:rFonts w:asciiTheme="majorHAnsi" w:eastAsia="Calibri" w:hAnsiTheme="majorHAnsi" w:cs="Frutiger 55 Roman"/>
          <w:color w:val="000000"/>
          <w:sz w:val="22"/>
        </w:rPr>
        <w:t>This policy requires p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hysicians to receive one-hour of continuing education (1 CE) per year.  </w:t>
      </w:r>
      <w:r w:rsidR="006229C7">
        <w:rPr>
          <w:rFonts w:asciiTheme="majorHAnsi" w:eastAsia="Calibri" w:hAnsiTheme="majorHAnsi" w:cs="Frutiger 55 Roman"/>
          <w:color w:val="000000"/>
          <w:sz w:val="22"/>
        </w:rPr>
        <w:t xml:space="preserve">Physicians can 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>accomplish</w:t>
      </w:r>
      <w:r w:rsidR="006229C7">
        <w:rPr>
          <w:rFonts w:asciiTheme="majorHAnsi" w:eastAsia="Calibri" w:hAnsiTheme="majorHAnsi" w:cs="Frutiger 55 Roman"/>
          <w:color w:val="000000"/>
          <w:sz w:val="22"/>
        </w:rPr>
        <w:t xml:space="preserve"> this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 by accessing the iLearn program, or by attending a didactic program </w:t>
      </w:r>
      <w:r w:rsidR="006229C7">
        <w:rPr>
          <w:rFonts w:asciiTheme="majorHAnsi" w:eastAsia="Calibri" w:hAnsiTheme="majorHAnsi" w:cs="Frutiger 55 Roman"/>
          <w:color w:val="000000"/>
          <w:sz w:val="22"/>
        </w:rPr>
        <w:t xml:space="preserve">that the CHLAMG Compliance Department 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>provide</w:t>
      </w:r>
      <w:r w:rsidR="006229C7">
        <w:rPr>
          <w:rFonts w:asciiTheme="majorHAnsi" w:eastAsia="Calibri" w:hAnsiTheme="majorHAnsi" w:cs="Frutiger 55 Roman"/>
          <w:color w:val="000000"/>
          <w:sz w:val="22"/>
        </w:rPr>
        <w:t>s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.  </w:t>
      </w:r>
    </w:p>
    <w:p w:rsidR="00D76EC2" w:rsidRPr="00D76EC2" w:rsidRDefault="00D76EC2" w:rsidP="00D76EC2">
      <w:pPr>
        <w:shd w:val="clear" w:color="auto" w:fill="FFFFFF" w:themeFill="background1"/>
        <w:jc w:val="both"/>
        <w:rPr>
          <w:rFonts w:asciiTheme="majorHAnsi" w:eastAsia="Calibri" w:hAnsiTheme="majorHAnsi" w:cs="Frutiger 55 Roman"/>
          <w:color w:val="000000"/>
          <w:sz w:val="22"/>
        </w:rPr>
      </w:pPr>
    </w:p>
    <w:p w:rsidR="00B37DFF" w:rsidRPr="00B37DFF" w:rsidRDefault="00D76EC2" w:rsidP="00D76EC2">
      <w:pPr>
        <w:shd w:val="clear" w:color="auto" w:fill="FFFFFF" w:themeFill="background1"/>
        <w:jc w:val="both"/>
        <w:rPr>
          <w:rFonts w:asciiTheme="majorHAnsi" w:eastAsia="Calibri" w:hAnsiTheme="majorHAnsi" w:cs="Frutiger 55 Roman"/>
          <w:b/>
          <w:color w:val="000000"/>
          <w:sz w:val="22"/>
        </w:rPr>
      </w:pPr>
      <w:r w:rsidRPr="00B37DFF">
        <w:rPr>
          <w:rFonts w:asciiTheme="majorHAnsi" w:eastAsia="Calibri" w:hAnsiTheme="majorHAnsi" w:cs="Frutiger 55 Roman"/>
          <w:b/>
          <w:color w:val="000000"/>
          <w:sz w:val="22"/>
        </w:rPr>
        <w:t xml:space="preserve">External Training – Physicians:  </w:t>
      </w:r>
    </w:p>
    <w:p w:rsidR="00D76EC2" w:rsidRDefault="00D76EC2" w:rsidP="00D76EC2">
      <w:pPr>
        <w:shd w:val="clear" w:color="auto" w:fill="FFFFFF" w:themeFill="background1"/>
        <w:jc w:val="both"/>
        <w:rPr>
          <w:rFonts w:asciiTheme="majorHAnsi" w:eastAsia="Calibri" w:hAnsiTheme="majorHAnsi" w:cs="Frutiger 55 Roman"/>
          <w:color w:val="000000"/>
          <w:sz w:val="22"/>
        </w:rPr>
      </w:pP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Physicians may attend external courses covering compliance topics, but </w:t>
      </w:r>
      <w:r w:rsidR="006229C7">
        <w:rPr>
          <w:rFonts w:asciiTheme="majorHAnsi" w:eastAsia="Calibri" w:hAnsiTheme="majorHAnsi" w:cs="Frutiger 55 Roman"/>
          <w:color w:val="000000"/>
          <w:sz w:val="22"/>
        </w:rPr>
        <w:t xml:space="preserve">the CHLAMG Compliance Director must approve the 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curriculum in order to implement any of the teachings or recommendations </w:t>
      </w:r>
      <w:r w:rsidR="006229C7">
        <w:rPr>
          <w:rFonts w:asciiTheme="majorHAnsi" w:eastAsia="Calibri" w:hAnsiTheme="majorHAnsi" w:cs="Frutiger 55 Roman"/>
          <w:color w:val="000000"/>
          <w:sz w:val="22"/>
        </w:rPr>
        <w:t>physicians learn during courses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.  This </w:t>
      </w:r>
      <w:r w:rsidR="006229C7">
        <w:rPr>
          <w:rFonts w:asciiTheme="majorHAnsi" w:eastAsia="Calibri" w:hAnsiTheme="majorHAnsi" w:cs="Frutiger 55 Roman"/>
          <w:color w:val="000000"/>
          <w:sz w:val="22"/>
        </w:rPr>
        <w:t>policy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 ensure</w:t>
      </w:r>
      <w:r w:rsidR="006229C7">
        <w:rPr>
          <w:rFonts w:asciiTheme="majorHAnsi" w:eastAsia="Calibri" w:hAnsiTheme="majorHAnsi" w:cs="Frutiger 55 Roman"/>
          <w:color w:val="000000"/>
          <w:sz w:val="22"/>
        </w:rPr>
        <w:t>s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 that external training meet internal guidelines.  Many external programs are Medicare specific and do not cover Medi-Cal regulation which can create misunderstanding or </w:t>
      </w:r>
      <w:r w:rsidR="006229C7">
        <w:rPr>
          <w:rFonts w:asciiTheme="majorHAnsi" w:eastAsia="Calibri" w:hAnsiTheme="majorHAnsi" w:cs="Frutiger 55 Roman"/>
          <w:color w:val="000000"/>
          <w:sz w:val="22"/>
        </w:rPr>
        <w:t xml:space="preserve">cause staff to 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>misappl</w:t>
      </w:r>
      <w:r w:rsidR="006229C7">
        <w:rPr>
          <w:rFonts w:asciiTheme="majorHAnsi" w:eastAsia="Calibri" w:hAnsiTheme="majorHAnsi" w:cs="Frutiger 55 Roman"/>
          <w:color w:val="000000"/>
          <w:sz w:val="22"/>
        </w:rPr>
        <w:t>y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 regulations and incorrect revenue presumptions.</w:t>
      </w:r>
    </w:p>
    <w:p w:rsidR="00D76EC2" w:rsidRPr="00D76EC2" w:rsidRDefault="00D76EC2" w:rsidP="00D76EC2">
      <w:pPr>
        <w:shd w:val="clear" w:color="auto" w:fill="FFFFFF" w:themeFill="background1"/>
        <w:jc w:val="both"/>
        <w:rPr>
          <w:rFonts w:asciiTheme="majorHAnsi" w:eastAsia="Calibri" w:hAnsiTheme="majorHAnsi" w:cs="Frutiger 55 Roman"/>
          <w:color w:val="000000"/>
          <w:sz w:val="22"/>
        </w:rPr>
      </w:pPr>
    </w:p>
    <w:p w:rsidR="00B37DFF" w:rsidRPr="00B37DFF" w:rsidRDefault="00D76EC2" w:rsidP="00D76EC2">
      <w:pPr>
        <w:shd w:val="clear" w:color="auto" w:fill="FFFFFF" w:themeFill="background1"/>
        <w:jc w:val="both"/>
        <w:rPr>
          <w:rFonts w:asciiTheme="majorHAnsi" w:eastAsia="Calibri" w:hAnsiTheme="majorHAnsi" w:cs="Frutiger 55 Roman"/>
          <w:b/>
          <w:color w:val="000000"/>
          <w:sz w:val="22"/>
        </w:rPr>
      </w:pPr>
      <w:r w:rsidRPr="00B37DFF">
        <w:rPr>
          <w:rFonts w:asciiTheme="majorHAnsi" w:eastAsia="Calibri" w:hAnsiTheme="majorHAnsi" w:cs="Frutiger 55 Roman"/>
          <w:b/>
          <w:color w:val="000000"/>
          <w:sz w:val="22"/>
        </w:rPr>
        <w:t xml:space="preserve">Orientation – Physician or Non-Physician Practitioner (NPP):  </w:t>
      </w:r>
    </w:p>
    <w:p w:rsidR="00D76EC2" w:rsidRDefault="006229C7" w:rsidP="00D76EC2">
      <w:pPr>
        <w:shd w:val="clear" w:color="auto" w:fill="FFFFFF" w:themeFill="background1"/>
        <w:jc w:val="both"/>
        <w:rPr>
          <w:rFonts w:asciiTheme="majorHAnsi" w:eastAsia="Calibri" w:hAnsiTheme="majorHAnsi" w:cs="Frutiger 55 Roman"/>
          <w:color w:val="000000"/>
          <w:sz w:val="22"/>
        </w:rPr>
      </w:pPr>
      <w:r>
        <w:rPr>
          <w:rFonts w:asciiTheme="majorHAnsi" w:eastAsia="Calibri" w:hAnsiTheme="majorHAnsi" w:cs="Frutiger 55 Roman"/>
          <w:color w:val="000000"/>
          <w:sz w:val="22"/>
        </w:rPr>
        <w:t>CHLAMG requires a</w:t>
      </w:r>
      <w:r w:rsidR="00D76EC2" w:rsidRPr="00D76EC2">
        <w:rPr>
          <w:rFonts w:asciiTheme="majorHAnsi" w:eastAsia="Calibri" w:hAnsiTheme="majorHAnsi" w:cs="Frutiger 55 Roman"/>
          <w:color w:val="000000"/>
          <w:sz w:val="22"/>
        </w:rPr>
        <w:t xml:space="preserve">ll physicians or non-physician practitioners who bill under CHLAMG, PMG, PAHO or other entities of CHLAMG, Inc., to attend one hour of revenue cycle specific compliance training prior to billing.  </w:t>
      </w:r>
      <w:r>
        <w:rPr>
          <w:rFonts w:asciiTheme="majorHAnsi" w:eastAsia="Calibri" w:hAnsiTheme="majorHAnsi" w:cs="Frutiger 55 Roman"/>
          <w:color w:val="000000"/>
          <w:sz w:val="22"/>
        </w:rPr>
        <w:t xml:space="preserve">Revenue cycle specific training also covers </w:t>
      </w:r>
      <w:r w:rsidR="00D76EC2" w:rsidRPr="00D76EC2">
        <w:rPr>
          <w:rFonts w:asciiTheme="majorHAnsi" w:eastAsia="Calibri" w:hAnsiTheme="majorHAnsi" w:cs="Frutiger 55 Roman"/>
          <w:color w:val="000000"/>
          <w:sz w:val="22"/>
        </w:rPr>
        <w:t xml:space="preserve">HIPAA Privacy and Security policies and procedures.   In addition, </w:t>
      </w:r>
      <w:r>
        <w:rPr>
          <w:rFonts w:asciiTheme="majorHAnsi" w:eastAsia="Calibri" w:hAnsiTheme="majorHAnsi" w:cs="Frutiger 55 Roman"/>
          <w:color w:val="000000"/>
          <w:sz w:val="22"/>
        </w:rPr>
        <w:t xml:space="preserve">CHLAMG strongly encourages </w:t>
      </w:r>
      <w:r w:rsidR="00D76EC2" w:rsidRPr="00D76EC2">
        <w:rPr>
          <w:rFonts w:asciiTheme="majorHAnsi" w:eastAsia="Calibri" w:hAnsiTheme="majorHAnsi" w:cs="Frutiger 55 Roman"/>
          <w:color w:val="000000"/>
          <w:sz w:val="22"/>
        </w:rPr>
        <w:t xml:space="preserve">residents/interns/fellows to attend a session prior to the completion of their residency at CHLA.  </w:t>
      </w:r>
      <w:r>
        <w:rPr>
          <w:rFonts w:asciiTheme="majorHAnsi" w:eastAsia="Calibri" w:hAnsiTheme="majorHAnsi" w:cs="Frutiger 55 Roman"/>
          <w:color w:val="000000"/>
          <w:sz w:val="22"/>
        </w:rPr>
        <w:t>Residents, fellows, and interns can meet t</w:t>
      </w:r>
      <w:r w:rsidR="00D76EC2" w:rsidRPr="00D76EC2">
        <w:rPr>
          <w:rFonts w:asciiTheme="majorHAnsi" w:eastAsia="Calibri" w:hAnsiTheme="majorHAnsi" w:cs="Frutiger 55 Roman"/>
          <w:color w:val="000000"/>
          <w:sz w:val="22"/>
        </w:rPr>
        <w:t xml:space="preserve">his requirement by attending the general orientation sessions, scheduling an orientation session with the compliance director, or attending the PMG Revenue Cycle and Compliance training.  This is a mandatory session.  NPP’s must </w:t>
      </w:r>
      <w:r>
        <w:rPr>
          <w:rFonts w:asciiTheme="majorHAnsi" w:eastAsia="Calibri" w:hAnsiTheme="majorHAnsi" w:cs="Frutiger 55 Roman"/>
          <w:color w:val="000000"/>
          <w:sz w:val="22"/>
        </w:rPr>
        <w:t>complete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 </w:t>
      </w:r>
      <w:r w:rsidR="00D76EC2" w:rsidRPr="00D76EC2">
        <w:rPr>
          <w:rFonts w:asciiTheme="majorHAnsi" w:eastAsia="Calibri" w:hAnsiTheme="majorHAnsi" w:cs="Frutiger 55 Roman"/>
          <w:color w:val="000000"/>
          <w:sz w:val="22"/>
        </w:rPr>
        <w:t xml:space="preserve">this training prior to billing under CHLAMG or PAHO Tax ID number(s).  Physicians must </w:t>
      </w:r>
      <w:r>
        <w:rPr>
          <w:rFonts w:asciiTheme="majorHAnsi" w:eastAsia="Calibri" w:hAnsiTheme="majorHAnsi" w:cs="Frutiger 55 Roman"/>
          <w:color w:val="000000"/>
          <w:sz w:val="22"/>
        </w:rPr>
        <w:t>complete</w:t>
      </w:r>
      <w:r w:rsidRPr="00D76EC2">
        <w:rPr>
          <w:rFonts w:asciiTheme="majorHAnsi" w:eastAsia="Calibri" w:hAnsiTheme="majorHAnsi" w:cs="Frutiger 55 Roman"/>
          <w:color w:val="000000"/>
          <w:sz w:val="22"/>
        </w:rPr>
        <w:t xml:space="preserve"> </w:t>
      </w:r>
      <w:r w:rsidR="00D76EC2" w:rsidRPr="00D76EC2">
        <w:rPr>
          <w:rFonts w:asciiTheme="majorHAnsi" w:eastAsia="Calibri" w:hAnsiTheme="majorHAnsi" w:cs="Frutiger 55 Roman"/>
          <w:color w:val="000000"/>
          <w:sz w:val="22"/>
        </w:rPr>
        <w:t>this training within the first 30 days</w:t>
      </w:r>
      <w:r w:rsidR="00472741">
        <w:rPr>
          <w:rFonts w:asciiTheme="majorHAnsi" w:eastAsia="Calibri" w:hAnsiTheme="majorHAnsi" w:cs="Frutiger 55 Roman"/>
          <w:color w:val="000000"/>
          <w:sz w:val="22"/>
        </w:rPr>
        <w:t xml:space="preserve"> of clinical care</w:t>
      </w:r>
      <w:r w:rsidR="00D76EC2" w:rsidRPr="00D76EC2">
        <w:rPr>
          <w:rFonts w:asciiTheme="majorHAnsi" w:eastAsia="Calibri" w:hAnsiTheme="majorHAnsi" w:cs="Frutiger 55 Roman"/>
          <w:color w:val="000000"/>
          <w:sz w:val="22"/>
        </w:rPr>
        <w:t>.</w:t>
      </w:r>
    </w:p>
    <w:p w:rsidR="00D76EC2" w:rsidRPr="00D76EC2" w:rsidRDefault="00D76EC2" w:rsidP="00D76EC2">
      <w:pPr>
        <w:shd w:val="clear" w:color="auto" w:fill="FFFFFF" w:themeFill="background1"/>
        <w:jc w:val="both"/>
        <w:rPr>
          <w:rFonts w:asciiTheme="majorHAnsi" w:eastAsia="Calibri" w:hAnsiTheme="majorHAnsi" w:cs="Frutiger 55 Roman"/>
          <w:color w:val="000000"/>
          <w:sz w:val="22"/>
        </w:rPr>
      </w:pPr>
    </w:p>
    <w:p w:rsidR="00B37DFF" w:rsidRPr="00B37DFF" w:rsidRDefault="00D76EC2" w:rsidP="00D76EC2">
      <w:pPr>
        <w:shd w:val="clear" w:color="auto" w:fill="FFFFFF" w:themeFill="background1"/>
        <w:jc w:val="both"/>
        <w:rPr>
          <w:rFonts w:asciiTheme="majorHAnsi" w:eastAsia="Calibri" w:hAnsiTheme="majorHAnsi" w:cs="Frutiger 55 Roman"/>
          <w:b/>
          <w:color w:val="000000"/>
          <w:sz w:val="22"/>
        </w:rPr>
      </w:pPr>
      <w:r w:rsidRPr="00B37DFF">
        <w:rPr>
          <w:rFonts w:asciiTheme="majorHAnsi" w:eastAsia="Calibri" w:hAnsiTheme="majorHAnsi" w:cs="Frutiger 55 Roman"/>
          <w:b/>
          <w:color w:val="000000"/>
          <w:sz w:val="22"/>
        </w:rPr>
        <w:t xml:space="preserve">Orientation – Revenue Cycle Management staff:  </w:t>
      </w:r>
    </w:p>
    <w:p w:rsidR="00D76EC2" w:rsidRPr="00D76EC2" w:rsidRDefault="006229C7" w:rsidP="00D76EC2">
      <w:pPr>
        <w:shd w:val="clear" w:color="auto" w:fill="FFFFFF" w:themeFill="background1"/>
        <w:jc w:val="both"/>
        <w:rPr>
          <w:rFonts w:asciiTheme="majorHAnsi" w:eastAsia="Calibri" w:hAnsiTheme="majorHAnsi" w:cs="Frutiger 55 Roman"/>
          <w:color w:val="000000"/>
          <w:sz w:val="22"/>
        </w:rPr>
      </w:pPr>
      <w:r>
        <w:rPr>
          <w:rFonts w:asciiTheme="majorHAnsi" w:eastAsia="Calibri" w:hAnsiTheme="majorHAnsi" w:cs="Frutiger 55 Roman"/>
          <w:color w:val="000000"/>
          <w:sz w:val="22"/>
        </w:rPr>
        <w:t xml:space="preserve">CHLAMG provides orientation </w:t>
      </w:r>
      <w:r w:rsidR="00D76EC2" w:rsidRPr="00D76EC2">
        <w:rPr>
          <w:rFonts w:asciiTheme="majorHAnsi" w:eastAsia="Calibri" w:hAnsiTheme="majorHAnsi" w:cs="Frutiger 55 Roman"/>
          <w:color w:val="000000"/>
          <w:sz w:val="22"/>
        </w:rPr>
        <w:t xml:space="preserve">to all employees at CHLA, CHLAMG, PMG, or PAHO who work directly with the revenue cycle through the continuum.  </w:t>
      </w:r>
      <w:r>
        <w:rPr>
          <w:rFonts w:asciiTheme="majorHAnsi" w:eastAsia="Calibri" w:hAnsiTheme="majorHAnsi" w:cs="Frutiger 55 Roman"/>
          <w:color w:val="000000"/>
          <w:sz w:val="22"/>
        </w:rPr>
        <w:t>The Compliance Department presents and discusses s</w:t>
      </w:r>
      <w:r w:rsidR="00D76EC2" w:rsidRPr="00D76EC2">
        <w:rPr>
          <w:rFonts w:asciiTheme="majorHAnsi" w:eastAsia="Calibri" w:hAnsiTheme="majorHAnsi" w:cs="Frutiger 55 Roman"/>
          <w:color w:val="000000"/>
          <w:sz w:val="22"/>
        </w:rPr>
        <w:t xml:space="preserve">pecific guidelines for adhering to hospital and medical group corporate compliance and HIPAA policies.  This training is mandatory and </w:t>
      </w:r>
      <w:r>
        <w:rPr>
          <w:rFonts w:asciiTheme="majorHAnsi" w:eastAsia="Calibri" w:hAnsiTheme="majorHAnsi" w:cs="Frutiger 55 Roman"/>
          <w:color w:val="000000"/>
          <w:sz w:val="22"/>
        </w:rPr>
        <w:t xml:space="preserve">employees </w:t>
      </w:r>
      <w:r w:rsidR="00D76EC2" w:rsidRPr="00D76EC2">
        <w:rPr>
          <w:rFonts w:asciiTheme="majorHAnsi" w:eastAsia="Calibri" w:hAnsiTheme="majorHAnsi" w:cs="Frutiger 55 Roman"/>
          <w:color w:val="000000"/>
          <w:sz w:val="22"/>
        </w:rPr>
        <w:t>must attend</w:t>
      </w:r>
      <w:r>
        <w:rPr>
          <w:rFonts w:asciiTheme="majorHAnsi" w:eastAsia="Calibri" w:hAnsiTheme="majorHAnsi" w:cs="Frutiger 55 Roman"/>
          <w:color w:val="000000"/>
          <w:sz w:val="22"/>
        </w:rPr>
        <w:t xml:space="preserve"> orientation </w:t>
      </w:r>
      <w:r w:rsidR="00D76EC2" w:rsidRPr="00D76EC2">
        <w:rPr>
          <w:rFonts w:asciiTheme="majorHAnsi" w:eastAsia="Calibri" w:hAnsiTheme="majorHAnsi" w:cs="Frutiger 55 Roman"/>
          <w:color w:val="000000"/>
          <w:sz w:val="22"/>
        </w:rPr>
        <w:t>within 30 days of start date</w:t>
      </w:r>
      <w:r w:rsidR="00472741">
        <w:rPr>
          <w:rFonts w:asciiTheme="majorHAnsi" w:eastAsia="Calibri" w:hAnsiTheme="majorHAnsi" w:cs="Frutiger 55 Roman"/>
          <w:color w:val="000000"/>
          <w:sz w:val="22"/>
        </w:rPr>
        <w:t xml:space="preserve"> of clinical care</w:t>
      </w:r>
      <w:r w:rsidR="00D76EC2" w:rsidRPr="00D76EC2">
        <w:rPr>
          <w:rFonts w:asciiTheme="majorHAnsi" w:eastAsia="Calibri" w:hAnsiTheme="majorHAnsi" w:cs="Frutiger 55 Roman"/>
          <w:color w:val="000000"/>
          <w:sz w:val="22"/>
        </w:rPr>
        <w:t>.</w:t>
      </w:r>
    </w:p>
    <w:p w:rsidR="00D75F7A" w:rsidRPr="00DC4602" w:rsidRDefault="00D75F7A" w:rsidP="00D75F7A">
      <w:pPr>
        <w:shd w:val="clear" w:color="auto" w:fill="FFFFFF" w:themeFill="background1"/>
        <w:jc w:val="both"/>
        <w:rPr>
          <w:rFonts w:asciiTheme="majorHAnsi" w:hAnsiTheme="majorHAnsi"/>
          <w:sz w:val="28"/>
        </w:rPr>
      </w:pPr>
    </w:p>
    <w:sectPr w:rsidR="00D75F7A" w:rsidRPr="00DC4602" w:rsidSect="00523F7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80" w:rsidRDefault="008F6E80">
      <w:r>
        <w:separator/>
      </w:r>
    </w:p>
  </w:endnote>
  <w:endnote w:type="continuationSeparator" w:id="0">
    <w:p w:rsidR="008F6E80" w:rsidRDefault="008F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55" w:rsidRPr="008C4B55" w:rsidRDefault="00523F71" w:rsidP="00523F71">
    <w:pPr>
      <w:pStyle w:val="Footer"/>
      <w:jc w:val="right"/>
      <w:rPr>
        <w:sz w:val="20"/>
      </w:rPr>
    </w:pPr>
    <w:r w:rsidRPr="00523F71">
      <w:rPr>
        <w:sz w:val="20"/>
      </w:rPr>
      <w:t xml:space="preserve">Corporate Compliance Program Education &amp; Training </w:t>
    </w:r>
    <w:r>
      <w:rPr>
        <w:sz w:val="20"/>
      </w:rPr>
      <w:t xml:space="preserve">| </w:t>
    </w:r>
    <w:r w:rsidR="008C4B55" w:rsidRPr="008C4B55">
      <w:rPr>
        <w:sz w:val="20"/>
      </w:rPr>
      <w:t xml:space="preserve">Page </w:t>
    </w:r>
    <w:r w:rsidR="008C4B55" w:rsidRPr="008C4B55">
      <w:rPr>
        <w:sz w:val="20"/>
      </w:rPr>
      <w:fldChar w:fldCharType="begin"/>
    </w:r>
    <w:r w:rsidR="008C4B55" w:rsidRPr="008C4B55">
      <w:rPr>
        <w:sz w:val="20"/>
      </w:rPr>
      <w:instrText xml:space="preserve"> PAGE   \* MERGEFORMAT </w:instrText>
    </w:r>
    <w:r w:rsidR="008C4B55" w:rsidRPr="008C4B55">
      <w:rPr>
        <w:sz w:val="20"/>
      </w:rPr>
      <w:fldChar w:fldCharType="separate"/>
    </w:r>
    <w:r w:rsidR="00877F35">
      <w:rPr>
        <w:noProof/>
        <w:sz w:val="20"/>
      </w:rPr>
      <w:t>2</w:t>
    </w:r>
    <w:r w:rsidR="008C4B55" w:rsidRPr="008C4B55">
      <w:rPr>
        <w:sz w:val="20"/>
      </w:rPr>
      <w:fldChar w:fldCharType="end"/>
    </w:r>
    <w:r w:rsidR="008C4B55" w:rsidRPr="008C4B55">
      <w:rPr>
        <w:sz w:val="20"/>
      </w:rPr>
      <w:t xml:space="preserve"> of </w:t>
    </w:r>
    <w:r w:rsidR="008C4B55" w:rsidRPr="008C4B55">
      <w:rPr>
        <w:sz w:val="20"/>
      </w:rPr>
      <w:fldChar w:fldCharType="begin"/>
    </w:r>
    <w:r w:rsidR="008C4B55" w:rsidRPr="008C4B55">
      <w:rPr>
        <w:sz w:val="20"/>
      </w:rPr>
      <w:instrText xml:space="preserve"> NUMPAGES  \* Arabic  \* MERGEFORMAT </w:instrText>
    </w:r>
    <w:r w:rsidR="008C4B55" w:rsidRPr="008C4B55">
      <w:rPr>
        <w:sz w:val="20"/>
      </w:rPr>
      <w:fldChar w:fldCharType="separate"/>
    </w:r>
    <w:r w:rsidR="00877F35">
      <w:rPr>
        <w:noProof/>
        <w:sz w:val="20"/>
      </w:rPr>
      <w:t>2</w:t>
    </w:r>
    <w:r w:rsidR="008C4B55" w:rsidRPr="008C4B5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71" w:rsidRPr="00F85787" w:rsidRDefault="00523F71" w:rsidP="00F85787">
    <w:pPr>
      <w:pStyle w:val="Footer"/>
      <w:jc w:val="right"/>
      <w:rPr>
        <w:sz w:val="20"/>
      </w:rPr>
    </w:pPr>
    <w:r w:rsidRPr="00F85787">
      <w:rPr>
        <w:sz w:val="20"/>
      </w:rPr>
      <w:t xml:space="preserve">Page </w:t>
    </w:r>
    <w:r w:rsidRPr="00F85787">
      <w:rPr>
        <w:sz w:val="20"/>
      </w:rPr>
      <w:fldChar w:fldCharType="begin"/>
    </w:r>
    <w:r w:rsidRPr="00F85787">
      <w:rPr>
        <w:sz w:val="20"/>
      </w:rPr>
      <w:instrText xml:space="preserve"> PAGE   \* MERGEFORMAT </w:instrText>
    </w:r>
    <w:r w:rsidRPr="00F85787">
      <w:rPr>
        <w:sz w:val="20"/>
      </w:rPr>
      <w:fldChar w:fldCharType="separate"/>
    </w:r>
    <w:r w:rsidR="00877F35">
      <w:rPr>
        <w:noProof/>
        <w:sz w:val="20"/>
      </w:rPr>
      <w:t>1</w:t>
    </w:r>
    <w:r w:rsidRPr="00F85787">
      <w:rPr>
        <w:sz w:val="20"/>
      </w:rPr>
      <w:fldChar w:fldCharType="end"/>
    </w:r>
    <w:r w:rsidRPr="00F85787">
      <w:rPr>
        <w:sz w:val="20"/>
      </w:rPr>
      <w:t xml:space="preserve">of </w:t>
    </w:r>
    <w:r w:rsidRPr="00F85787">
      <w:rPr>
        <w:sz w:val="20"/>
      </w:rPr>
      <w:fldChar w:fldCharType="begin"/>
    </w:r>
    <w:r w:rsidRPr="00F85787">
      <w:rPr>
        <w:sz w:val="20"/>
      </w:rPr>
      <w:instrText xml:space="preserve"> NUMPAGES   \* MERGEFORMAT </w:instrText>
    </w:r>
    <w:r w:rsidRPr="00F85787">
      <w:rPr>
        <w:sz w:val="20"/>
      </w:rPr>
      <w:fldChar w:fldCharType="separate"/>
    </w:r>
    <w:r w:rsidR="00877F35">
      <w:rPr>
        <w:noProof/>
        <w:sz w:val="20"/>
      </w:rPr>
      <w:t>2</w:t>
    </w:r>
    <w:r w:rsidRPr="00F8578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80" w:rsidRDefault="008F6E80">
      <w:r>
        <w:separator/>
      </w:r>
    </w:p>
  </w:footnote>
  <w:footnote w:type="continuationSeparator" w:id="0">
    <w:p w:rsidR="008F6E80" w:rsidRDefault="008F6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63" w:rsidRDefault="00382063" w:rsidP="00BE2510">
    <w:pPr>
      <w:pStyle w:val="Header"/>
      <w:ind w:left="2880" w:firstLine="3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71" w:rsidRPr="000E0E4A" w:rsidRDefault="00523F71" w:rsidP="00E33C3F">
    <w:pPr>
      <w:pStyle w:val="Header"/>
      <w:ind w:firstLine="6480"/>
      <w:jc w:val="right"/>
      <w:rPr>
        <w:rFonts w:asciiTheme="majorHAnsi" w:hAnsiTheme="majorHAnsi"/>
        <w:b/>
        <w:sz w:val="28"/>
        <w:szCs w:val="28"/>
        <w:u w:val="single"/>
      </w:rPr>
    </w:pPr>
    <w:r>
      <w:rPr>
        <w:rFonts w:ascii="Garamond" w:hAnsi="Garamond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2456180</wp:posOffset>
          </wp:positionH>
          <wp:positionV relativeFrom="margin">
            <wp:posOffset>-1084580</wp:posOffset>
          </wp:positionV>
          <wp:extent cx="1788160" cy="474345"/>
          <wp:effectExtent l="0" t="0" r="2540" b="190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3F71" w:rsidRPr="00DC4602" w:rsidRDefault="00523F71" w:rsidP="00523F71">
    <w:pPr>
      <w:jc w:val="center"/>
      <w:rPr>
        <w:rFonts w:asciiTheme="minorHAnsi" w:hAnsiTheme="minorHAnsi" w:cstheme="minorHAnsi"/>
        <w:smallCaps/>
        <w:sz w:val="28"/>
        <w:szCs w:val="28"/>
      </w:rPr>
    </w:pPr>
    <w:r w:rsidRPr="00DC4602">
      <w:rPr>
        <w:rFonts w:asciiTheme="minorHAnsi" w:hAnsiTheme="minorHAnsi" w:cstheme="minorHAnsi"/>
        <w:b/>
        <w:smallCaps/>
        <w:sz w:val="28"/>
        <w:szCs w:val="28"/>
        <w:u w:val="single"/>
      </w:rPr>
      <w:t>Children’s Hospital Los Angeles Medical Group</w:t>
    </w:r>
  </w:p>
  <w:p w:rsidR="00523F71" w:rsidRPr="00DC4602" w:rsidRDefault="00523F71" w:rsidP="00523F71">
    <w:pPr>
      <w:jc w:val="center"/>
      <w:rPr>
        <w:rFonts w:asciiTheme="minorHAnsi" w:hAnsiTheme="minorHAnsi" w:cstheme="minorHAnsi"/>
        <w:b/>
        <w:smallCaps/>
      </w:rPr>
    </w:pPr>
    <w:r w:rsidRPr="00DC4602">
      <w:rPr>
        <w:rFonts w:asciiTheme="minorHAnsi" w:hAnsiTheme="minorHAnsi" w:cstheme="minorHAnsi"/>
        <w:b/>
        <w:smallCaps/>
      </w:rPr>
      <w:t>Compliance Policy Manual</w:t>
    </w:r>
  </w:p>
  <w:p w:rsidR="00523F71" w:rsidRDefault="00523F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BEB"/>
    <w:multiLevelType w:val="hybridMultilevel"/>
    <w:tmpl w:val="F6B88636"/>
    <w:lvl w:ilvl="0" w:tplc="794E00A6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75F9"/>
    <w:multiLevelType w:val="hybridMultilevel"/>
    <w:tmpl w:val="2ABE16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954FA8"/>
    <w:multiLevelType w:val="hybridMultilevel"/>
    <w:tmpl w:val="938288FA"/>
    <w:lvl w:ilvl="0" w:tplc="DBA4D12C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F6112"/>
    <w:multiLevelType w:val="hybridMultilevel"/>
    <w:tmpl w:val="F230D2C8"/>
    <w:lvl w:ilvl="0" w:tplc="60BEE10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AB7B26"/>
    <w:multiLevelType w:val="multilevel"/>
    <w:tmpl w:val="52D423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FC05D80"/>
    <w:multiLevelType w:val="hybridMultilevel"/>
    <w:tmpl w:val="6896BE9E"/>
    <w:lvl w:ilvl="0" w:tplc="8DD821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0088C"/>
    <w:multiLevelType w:val="hybridMultilevel"/>
    <w:tmpl w:val="09927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74CB0"/>
    <w:multiLevelType w:val="hybridMultilevel"/>
    <w:tmpl w:val="7AFC8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F70A01"/>
    <w:multiLevelType w:val="hybridMultilevel"/>
    <w:tmpl w:val="05724ABC"/>
    <w:lvl w:ilvl="0" w:tplc="CA8020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D15670"/>
    <w:multiLevelType w:val="hybridMultilevel"/>
    <w:tmpl w:val="930A60F8"/>
    <w:lvl w:ilvl="0" w:tplc="794E00A6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FB45E7"/>
    <w:multiLevelType w:val="hybridMultilevel"/>
    <w:tmpl w:val="FB385C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AF4395"/>
    <w:multiLevelType w:val="multilevel"/>
    <w:tmpl w:val="E1A2B7B0"/>
    <w:lvl w:ilvl="0">
      <w:start w:val="1"/>
      <w:numFmt w:val="decimal"/>
      <w:lvlText w:val="%1.0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0" w:hanging="1800"/>
      </w:pPr>
      <w:rPr>
        <w:rFonts w:hint="default"/>
      </w:rPr>
    </w:lvl>
  </w:abstractNum>
  <w:abstractNum w:abstractNumId="12" w15:restartNumberingAfterBreak="0">
    <w:nsid w:val="6AA45D30"/>
    <w:multiLevelType w:val="hybridMultilevel"/>
    <w:tmpl w:val="1C2655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7C7A74"/>
    <w:multiLevelType w:val="hybridMultilevel"/>
    <w:tmpl w:val="F230D2C8"/>
    <w:lvl w:ilvl="0" w:tplc="60BEE10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5"/>
    <w:rsid w:val="0006706D"/>
    <w:rsid w:val="0008139F"/>
    <w:rsid w:val="000C5FFC"/>
    <w:rsid w:val="000E0E4A"/>
    <w:rsid w:val="00136DB7"/>
    <w:rsid w:val="00143148"/>
    <w:rsid w:val="00222EAB"/>
    <w:rsid w:val="0025523D"/>
    <w:rsid w:val="0029539F"/>
    <w:rsid w:val="002B005B"/>
    <w:rsid w:val="002C2DE5"/>
    <w:rsid w:val="002F5B67"/>
    <w:rsid w:val="00304FC9"/>
    <w:rsid w:val="00345236"/>
    <w:rsid w:val="00382063"/>
    <w:rsid w:val="0038419F"/>
    <w:rsid w:val="003D4249"/>
    <w:rsid w:val="0041195A"/>
    <w:rsid w:val="00416CA5"/>
    <w:rsid w:val="00427F76"/>
    <w:rsid w:val="00472741"/>
    <w:rsid w:val="00523F71"/>
    <w:rsid w:val="00597399"/>
    <w:rsid w:val="006229C7"/>
    <w:rsid w:val="006326FA"/>
    <w:rsid w:val="006A23D5"/>
    <w:rsid w:val="006B253A"/>
    <w:rsid w:val="00717787"/>
    <w:rsid w:val="00805A3E"/>
    <w:rsid w:val="008617BA"/>
    <w:rsid w:val="00877F35"/>
    <w:rsid w:val="008C4B55"/>
    <w:rsid w:val="008F6E80"/>
    <w:rsid w:val="009D4DC2"/>
    <w:rsid w:val="00A135A4"/>
    <w:rsid w:val="00A163B3"/>
    <w:rsid w:val="00AF7406"/>
    <w:rsid w:val="00B335CB"/>
    <w:rsid w:val="00B37DFF"/>
    <w:rsid w:val="00BA788E"/>
    <w:rsid w:val="00BB74EE"/>
    <w:rsid w:val="00BE2510"/>
    <w:rsid w:val="00C12F38"/>
    <w:rsid w:val="00C549FA"/>
    <w:rsid w:val="00C6283D"/>
    <w:rsid w:val="00CA4E43"/>
    <w:rsid w:val="00CB3643"/>
    <w:rsid w:val="00D02892"/>
    <w:rsid w:val="00D75F7A"/>
    <w:rsid w:val="00D76EC2"/>
    <w:rsid w:val="00DA7061"/>
    <w:rsid w:val="00DC4602"/>
    <w:rsid w:val="00E33C3F"/>
    <w:rsid w:val="00F01BBE"/>
    <w:rsid w:val="00F13D8B"/>
    <w:rsid w:val="00F85399"/>
    <w:rsid w:val="00F85787"/>
    <w:rsid w:val="00F943B2"/>
    <w:rsid w:val="00FB1278"/>
    <w:rsid w:val="00FB7DAC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FB5E67-3C4F-4610-844B-B360B4CF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2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251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304FC9"/>
    <w:pPr>
      <w:autoSpaceDE w:val="0"/>
      <w:autoSpaceDN w:val="0"/>
      <w:adjustRightInd w:val="0"/>
    </w:pPr>
    <w:rPr>
      <w:rFonts w:ascii="Frutiger 55 Roman" w:eastAsia="Calibri" w:hAnsi="Frutiger 55 Roman" w:cs="Frutiger 55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04FC9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304FC9"/>
    <w:rPr>
      <w:rFonts w:ascii="Frutiger 45 Light" w:hAnsi="Frutiger 45 Light" w:cs="Frutiger 45 Light"/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304FC9"/>
    <w:pPr>
      <w:spacing w:line="20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304FC9"/>
    <w:pPr>
      <w:spacing w:line="201" w:lineRule="atLeast"/>
    </w:pPr>
    <w:rPr>
      <w:rFonts w:cs="Times New Roman"/>
      <w:color w:val="auto"/>
    </w:rPr>
  </w:style>
  <w:style w:type="character" w:styleId="CommentReference">
    <w:name w:val="annotation reference"/>
    <w:rsid w:val="00FB7D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D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7DAC"/>
  </w:style>
  <w:style w:type="paragraph" w:styleId="CommentSubject">
    <w:name w:val="annotation subject"/>
    <w:basedOn w:val="CommentText"/>
    <w:next w:val="CommentText"/>
    <w:link w:val="CommentSubjectChar"/>
    <w:rsid w:val="00FB7DAC"/>
    <w:rPr>
      <w:b/>
      <w:bCs/>
    </w:rPr>
  </w:style>
  <w:style w:type="character" w:customStyle="1" w:styleId="CommentSubjectChar">
    <w:name w:val="Comment Subject Char"/>
    <w:link w:val="CommentSubject"/>
    <w:rsid w:val="00FB7DAC"/>
    <w:rPr>
      <w:b/>
      <w:bCs/>
    </w:rPr>
  </w:style>
  <w:style w:type="paragraph" w:styleId="BalloonText">
    <w:name w:val="Balloon Text"/>
    <w:basedOn w:val="Normal"/>
    <w:link w:val="BalloonTextChar"/>
    <w:rsid w:val="00FB7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7D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E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DFF"/>
    <w:pPr>
      <w:ind w:left="720"/>
      <w:contextualSpacing/>
    </w:pPr>
  </w:style>
  <w:style w:type="character" w:styleId="Hyperlink">
    <w:name w:val="Hyperlink"/>
    <w:basedOn w:val="DefaultParagraphFont"/>
    <w:rsid w:val="00E33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LAMGcompliance@chla.us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liance P&amp;P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off:</vt:lpstr>
    </vt:vector>
  </TitlesOfParts>
  <Company>none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off:</dc:title>
  <dc:creator>Thomason, Masi</dc:creator>
  <cp:lastModifiedBy>Troklus, Jeffrey</cp:lastModifiedBy>
  <cp:revision>5</cp:revision>
  <cp:lastPrinted>2017-03-07T23:55:00Z</cp:lastPrinted>
  <dcterms:created xsi:type="dcterms:W3CDTF">2018-05-07T17:59:00Z</dcterms:created>
  <dcterms:modified xsi:type="dcterms:W3CDTF">2018-08-08T16:38:00Z</dcterms:modified>
</cp:coreProperties>
</file>